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5E8DC" w14:textId="0C9FC70E" w:rsidR="00A5046C" w:rsidRPr="000E3642" w:rsidRDefault="00A5046C" w:rsidP="000E3642">
      <w:pPr>
        <w:pStyle w:val="Heading1"/>
        <w:shd w:val="clear" w:color="auto" w:fill="8EAADB" w:themeFill="accent1" w:themeFillTint="99"/>
        <w:spacing w:before="0" w:after="0"/>
        <w:rPr>
          <w:rFonts w:asciiTheme="minorHAnsi" w:hAnsiTheme="minorHAnsi" w:cstheme="minorHAnsi"/>
          <w:b/>
          <w:bCs/>
          <w:color w:val="FFFFFF" w:themeColor="background1"/>
        </w:rPr>
      </w:pPr>
      <w:r w:rsidRPr="000E3642">
        <w:rPr>
          <w:rFonts w:asciiTheme="minorHAnsi" w:hAnsiTheme="minorHAnsi" w:cstheme="minorHAnsi"/>
          <w:b/>
          <w:bCs/>
          <w:color w:val="FFFFFF" w:themeColor="background1"/>
        </w:rPr>
        <w:t>Genocidal Mindset</w:t>
      </w:r>
      <w:r w:rsidR="000E3642" w:rsidRPr="000E3642">
        <w:rPr>
          <w:rFonts w:asciiTheme="minorHAnsi" w:hAnsiTheme="minorHAnsi" w:cstheme="minorHAnsi"/>
          <w:b/>
          <w:bCs/>
          <w:color w:val="FFFFFF" w:themeColor="background1"/>
        </w:rPr>
        <w:t>:</w:t>
      </w:r>
      <w:r w:rsidRPr="000E3642">
        <w:rPr>
          <w:rFonts w:asciiTheme="minorHAnsi" w:hAnsiTheme="minorHAnsi" w:cstheme="minorHAnsi"/>
          <w:b/>
          <w:bCs/>
          <w:color w:val="FFFFFF" w:themeColor="background1"/>
        </w:rPr>
        <w:t xml:space="preserve"> Conference</w:t>
      </w:r>
      <w:r w:rsidR="000E3642" w:rsidRPr="000E3642">
        <w:rPr>
          <w:rFonts w:asciiTheme="minorHAnsi" w:hAnsiTheme="minorHAnsi" w:cstheme="minorHAnsi"/>
          <w:b/>
          <w:bCs/>
          <w:color w:val="FFFFFF" w:themeColor="background1"/>
        </w:rPr>
        <w:t xml:space="preserve"> </w:t>
      </w:r>
      <w:r w:rsidRPr="000E3642">
        <w:rPr>
          <w:rFonts w:asciiTheme="minorHAnsi" w:hAnsiTheme="minorHAnsi" w:cstheme="minorHAnsi"/>
          <w:b/>
          <w:bCs/>
          <w:color w:val="FFFFFF" w:themeColor="background1"/>
        </w:rPr>
        <w:t>Abstracts</w:t>
      </w:r>
    </w:p>
    <w:p w14:paraId="5CB5D71F" w14:textId="77777777" w:rsidR="00D21F52" w:rsidRDefault="00D21F52" w:rsidP="00D21F52"/>
    <w:p w14:paraId="4C43712F" w14:textId="4A8B7DE4" w:rsidR="00A5046C" w:rsidRDefault="00CB2EDD" w:rsidP="000E3642">
      <w:pPr>
        <w:pStyle w:val="Heading2"/>
        <w:shd w:val="clear" w:color="auto" w:fill="D9E2F3" w:themeFill="accent1" w:themeFillTint="33"/>
      </w:pPr>
      <w:r>
        <w:t>1.1</w:t>
      </w:r>
      <w:r w:rsidR="00600473">
        <w:t xml:space="preserve"> </w:t>
      </w:r>
      <w:r w:rsidR="00A5046C">
        <w:t>Queering Theology Beyond Eurocentric Jewish-Christian Binaries</w:t>
      </w:r>
    </w:p>
    <w:p w14:paraId="5259FF40" w14:textId="0C7AF493" w:rsidR="00A5046C" w:rsidRDefault="00A5046C" w:rsidP="000E3642">
      <w:pPr>
        <w:ind w:firstLine="720"/>
      </w:pPr>
      <w:r>
        <w:t xml:space="preserve">Abeer </w:t>
      </w:r>
      <w:proofErr w:type="spellStart"/>
      <w:r>
        <w:t>Khshiboon</w:t>
      </w:r>
      <w:proofErr w:type="spellEnd"/>
      <w:r>
        <w:t xml:space="preserve"> </w:t>
      </w:r>
      <w:r w:rsidR="001C2A6F">
        <w:t>(</w:t>
      </w:r>
      <w:r>
        <w:t>Berlin</w:t>
      </w:r>
      <w:r w:rsidR="001C2A6F">
        <w:t>)</w:t>
      </w:r>
    </w:p>
    <w:p w14:paraId="2298E024" w14:textId="77777777" w:rsidR="00A5046C" w:rsidRDefault="00A5046C" w:rsidP="001C2A6F">
      <w:pPr>
        <w:spacing w:after="0"/>
      </w:pPr>
      <w:r>
        <w:t xml:space="preserve">This paper examines the epistemic violence present in the sphere of the Jewish-Christian Relations (JCR) within religious studies. Although initially conceived as a safe space for the Jewish subaltern under Western-Christian hegemony, the JCR has solidified into a domain where its anti-anti-Semitic critique mainly targets marginalized scholarships from the Global South. In this contentious academic environment, it has become common to dismiss postcolonial frameworks, contextual interpretations, and liberation theologies while anachronistically imposing Zionist ideologies onto biblical texts and the historical figure of Jesus. Despite its ultimate focus on reclaiming Jesus as a Jew, JCR scholarship tends to reproduce ahistorical, individualistic, depoliticizing, and exoticizing depictions of Jesus, thereby severing his tradition and movement from the material conditions that shaped them. Consequently, the JCR appears to predominantly operate through the very racialization processes it purports to defy, Eurocentrism, supremacy, Orientalism, and ethno-nationalism. It does so, I argue, when addressing both biblical materials and subaltern voices and epistemologies.  </w:t>
      </w:r>
    </w:p>
    <w:p w14:paraId="4424D1B1" w14:textId="16E78D75" w:rsidR="00A5046C" w:rsidRDefault="00A5046C" w:rsidP="001C2A6F">
      <w:pPr>
        <w:ind w:firstLine="720"/>
      </w:pPr>
      <w:r>
        <w:t xml:space="preserve">Building on Paul B. Preciado’s book Can the Monster </w:t>
      </w:r>
      <w:proofErr w:type="gramStart"/>
      <w:r>
        <w:t>Speak?,</w:t>
      </w:r>
      <w:proofErr w:type="gramEnd"/>
      <w:r>
        <w:t xml:space="preserve"> I identify a rigid Jew-Gentile heteronormativity, enforced by the JCR, under which many subjectivities, such as non-European Jews and non-Gentile Christians, are excluded as non-binary. I call for “queering” the field of theology and religious studies, urging the rejection of theological binaries and identity oversimplifications to challenge the power structures that the JCR has normalized, and to create space for “the subaltern to speak” their truths, their Bibles, and their Jesuses.</w:t>
      </w:r>
    </w:p>
    <w:p w14:paraId="72EF91A3" w14:textId="6CC81523" w:rsidR="00600473" w:rsidRDefault="00CB2EDD" w:rsidP="000E3642">
      <w:pPr>
        <w:pStyle w:val="Heading2"/>
        <w:shd w:val="clear" w:color="auto" w:fill="D9E2F3" w:themeFill="accent1" w:themeFillTint="33"/>
        <w:rPr>
          <w:lang w:bidi="he-IL"/>
        </w:rPr>
      </w:pPr>
      <w:r>
        <w:rPr>
          <w:lang w:bidi="he-IL"/>
        </w:rPr>
        <w:t>1.2</w:t>
      </w:r>
      <w:r w:rsidR="00600473">
        <w:rPr>
          <w:lang w:bidi="he-IL"/>
        </w:rPr>
        <w:t xml:space="preserve"> When Herzel, Scholem and Luther Imagined Gaza</w:t>
      </w:r>
    </w:p>
    <w:p w14:paraId="6BB30D01" w14:textId="77777777" w:rsidR="00600473" w:rsidRDefault="00600473" w:rsidP="000E3642">
      <w:pPr>
        <w:ind w:firstLine="720"/>
        <w:rPr>
          <w:lang w:bidi="he-IL"/>
        </w:rPr>
      </w:pPr>
      <w:r>
        <w:rPr>
          <w:lang w:bidi="he-IL"/>
        </w:rPr>
        <w:t>Oded Schechter (Berlin)</w:t>
      </w:r>
    </w:p>
    <w:p w14:paraId="4F06C3B1" w14:textId="77777777" w:rsidR="00600473" w:rsidRDefault="00600473" w:rsidP="000E3642">
      <w:pPr>
        <w:rPr>
          <w:lang w:bidi="he-IL"/>
        </w:rPr>
      </w:pPr>
      <w:r>
        <w:rPr>
          <w:lang w:bidi="he-IL"/>
        </w:rPr>
        <w:t xml:space="preserve">The Protestant secular Jewish movement of Zionism must have had genocide as a primary political framework. Jews who participated in the process of modernity by playing an instrumental role in the development of Christian secular hermeneutics and in subjecting non-Protestant Judaism to it subsequently expressed their involvement in this project by actively contributing to the destruction of the Jewish text, namely the Talmud, and of rabbinic hermeneutics, in </w:t>
      </w:r>
      <w:proofErr w:type="spellStart"/>
      <w:r>
        <w:rPr>
          <w:lang w:bidi="he-IL"/>
        </w:rPr>
        <w:t>favor</w:t>
      </w:r>
      <w:proofErr w:type="spellEnd"/>
      <w:r>
        <w:rPr>
          <w:lang w:bidi="he-IL"/>
        </w:rPr>
        <w:t xml:space="preserve"> of the biblical secular, historical, and hermeneutics (as exemplified by Scholem). Any positive identity created in this secular national post-Habsburg Europe project could not avoid the involvement of colonial ethnic cleansing and genocide as part of its self-understanding, along with the celebration of Kabbalah, Hassidism, and, of course, the Bible. The radical secular Jew, by denying its historicity, reiterating and reaffirming the same order of universality versus nationality, is, to that extent, cooperating with the nationalist Jew in affirming ethnic cleansing as the sole viable conceptualization of Jewish identity.</w:t>
      </w:r>
    </w:p>
    <w:p w14:paraId="172D0E06" w14:textId="692C5BF9" w:rsidR="00D14C50" w:rsidRDefault="00D14C50" w:rsidP="000E3642">
      <w:pPr>
        <w:pStyle w:val="Heading2"/>
        <w:shd w:val="clear" w:color="auto" w:fill="D9E2F3" w:themeFill="accent1" w:themeFillTint="33"/>
        <w:rPr>
          <w:lang w:bidi="he-IL"/>
        </w:rPr>
      </w:pPr>
      <w:r>
        <w:rPr>
          <w:lang w:bidi="he-IL"/>
        </w:rPr>
        <w:lastRenderedPageBreak/>
        <w:t>1.3 A voice crying out in the desert: R. Yoel Teitelbaum’s criticism of political Zionism in the light the present situation</w:t>
      </w:r>
    </w:p>
    <w:p w14:paraId="367FAEAF" w14:textId="77777777" w:rsidR="00D14C50" w:rsidRDefault="00D14C50" w:rsidP="000E3642">
      <w:pPr>
        <w:ind w:firstLine="720"/>
        <w:rPr>
          <w:lang w:bidi="he-IL"/>
        </w:rPr>
      </w:pPr>
      <w:r>
        <w:rPr>
          <w:lang w:bidi="he-IL"/>
        </w:rPr>
        <w:t xml:space="preserve">Cristina </w:t>
      </w:r>
      <w:proofErr w:type="spellStart"/>
      <w:r>
        <w:rPr>
          <w:lang w:bidi="he-IL"/>
        </w:rPr>
        <w:t>Ciucu</w:t>
      </w:r>
      <w:proofErr w:type="spellEnd"/>
      <w:r>
        <w:rPr>
          <w:lang w:bidi="he-IL"/>
        </w:rPr>
        <w:t xml:space="preserve"> (Paris)</w:t>
      </w:r>
    </w:p>
    <w:p w14:paraId="0A10DB11" w14:textId="5B5D3362" w:rsidR="00D14C50" w:rsidRDefault="00D14C50" w:rsidP="00D14C50">
      <w:pPr>
        <w:rPr>
          <w:lang w:bidi="he-IL"/>
        </w:rPr>
      </w:pPr>
      <w:r>
        <w:rPr>
          <w:lang w:bidi="he-IL"/>
        </w:rPr>
        <w:t xml:space="preserve">Genuine prophets – as the Biblical corpus seems to intimate – are of two kinds: those who succeed in softening the hearts and in converting to truth, and those who are doomed to witness the terrible reality of their warnings. Rabbi Yoel Teitelbaum (1887-1979), the most eminent representative of the anti-Zionist stand which is that of the Hassidic dynasties in </w:t>
      </w:r>
      <w:proofErr w:type="spellStart"/>
      <w:r>
        <w:rPr>
          <w:lang w:bidi="he-IL"/>
        </w:rPr>
        <w:t>Munkacs</w:t>
      </w:r>
      <w:proofErr w:type="spellEnd"/>
      <w:r>
        <w:rPr>
          <w:lang w:bidi="he-IL"/>
        </w:rPr>
        <w:t xml:space="preserve"> and Satmar, lived to witness the veracity of many of his admonitions. The author of Va-Yoel Moshe – a monumental apology of Judaism and indictment of Zionism – may have indeed fathomed the moral consequences of military ethos and colonization more profoundly than many of his contemporaries. Beyond the theological, metaphysical and legal arguments, we will delve into R. Teitelbaum’s unique insights on the social psychology of propaganda (</w:t>
      </w:r>
      <w:proofErr w:type="spellStart"/>
      <w:r>
        <w:rPr>
          <w:lang w:bidi="he-IL"/>
        </w:rPr>
        <w:t>ta`amulah</w:t>
      </w:r>
      <w:proofErr w:type="spellEnd"/>
      <w:r>
        <w:rPr>
          <w:lang w:bidi="he-IL"/>
        </w:rPr>
        <w:t>), as well as on the collective mentality engineered by what he considers as “the utmost form of spiritual defilement in the world”.</w:t>
      </w:r>
    </w:p>
    <w:p w14:paraId="3F06E08C" w14:textId="7C7695D0" w:rsidR="00A75E30" w:rsidRPr="00D14C50" w:rsidRDefault="00CB2EDD" w:rsidP="000E3642">
      <w:pPr>
        <w:pStyle w:val="Heading2"/>
        <w:shd w:val="clear" w:color="auto" w:fill="D9E2F3" w:themeFill="accent1" w:themeFillTint="33"/>
        <w:rPr>
          <w:sz w:val="20"/>
          <w:szCs w:val="20"/>
        </w:rPr>
      </w:pPr>
      <w:r>
        <w:t>2.1</w:t>
      </w:r>
      <w:r w:rsidR="00A75E30">
        <w:rPr>
          <w:lang w:bidi="he-IL"/>
        </w:rPr>
        <w:t xml:space="preserve"> Neurobiological factors in empathic intergroup dynamics, their influence on the propensity for dehumanizing outgroups and consequential intergroup violence.</w:t>
      </w:r>
    </w:p>
    <w:p w14:paraId="05E1354D" w14:textId="77777777" w:rsidR="00A75E30" w:rsidRDefault="00A75E30" w:rsidP="000E3642">
      <w:pPr>
        <w:ind w:firstLine="720"/>
        <w:rPr>
          <w:lang w:bidi="he-IL"/>
        </w:rPr>
      </w:pPr>
      <w:r>
        <w:rPr>
          <w:lang w:bidi="he-IL"/>
        </w:rPr>
        <w:t>Lawrie S. McKay (Paisley)</w:t>
      </w:r>
    </w:p>
    <w:p w14:paraId="2A59CB3E" w14:textId="52AA9CB8" w:rsidR="00600473" w:rsidRDefault="00A75E30" w:rsidP="00A75E30">
      <w:pPr>
        <w:rPr>
          <w:lang w:bidi="he-IL"/>
        </w:rPr>
      </w:pPr>
      <w:r>
        <w:rPr>
          <w:lang w:bidi="he-IL"/>
        </w:rPr>
        <w:t>In human history, intergroup violence, mass murder, enslavement and genocides are seemingly commonplace.  However, what allows us to commit acts of intergroup aggression &amp; violence, or to be appalled by them, still seems to elude us.  In this presentation, the aim is to provide a short review of what we currently understand about the neural mechanisms involved in empathy for the suffering of others and willingness to engage in, accept or encourage violence against out groups.  The neuroscience &amp; psychological literature taps into many areas in which in-group and out-groups are determined, and those most relevant will be discussed.  Factors such as ethnicity, religion and physical characteristics will be discussed in relation to their potential in creating a psychological distance or closeness between different groups, as well as more cultural or individual traits that may influence the propensity for dehumanization and, consequently, violence and potential.  Wherever possible, recent examples will be explored to help elucidate the relationships between psychological, biological and cultural factors.</w:t>
      </w:r>
    </w:p>
    <w:p w14:paraId="51D6DB58" w14:textId="776C1BB1" w:rsidR="00600473" w:rsidRDefault="00CB2EDD" w:rsidP="000E3642">
      <w:pPr>
        <w:pStyle w:val="Heading2"/>
        <w:shd w:val="clear" w:color="auto" w:fill="D9E2F3" w:themeFill="accent1" w:themeFillTint="33"/>
        <w:rPr>
          <w:lang w:bidi="he-IL"/>
        </w:rPr>
      </w:pPr>
      <w:r>
        <w:rPr>
          <w:lang w:bidi="he-IL"/>
        </w:rPr>
        <w:t>2.</w:t>
      </w:r>
      <w:r w:rsidR="00D14C50">
        <w:rPr>
          <w:lang w:bidi="he-IL"/>
        </w:rPr>
        <w:t>2</w:t>
      </w:r>
      <w:r w:rsidR="00600473">
        <w:rPr>
          <w:lang w:bidi="he-IL"/>
        </w:rPr>
        <w:t xml:space="preserve"> </w:t>
      </w:r>
      <w:proofErr w:type="spellStart"/>
      <w:r w:rsidR="00600473">
        <w:rPr>
          <w:lang w:bidi="he-IL"/>
        </w:rPr>
        <w:t>Hospicing</w:t>
      </w:r>
      <w:proofErr w:type="spellEnd"/>
      <w:r w:rsidR="00600473">
        <w:rPr>
          <w:lang w:bidi="he-IL"/>
        </w:rPr>
        <w:t xml:space="preserve"> Gaza (</w:t>
      </w:r>
      <w:r w:rsidR="00600473">
        <w:rPr>
          <w:rFonts w:cs="Arial"/>
          <w:rtl/>
        </w:rPr>
        <w:t>غزة</w:t>
      </w:r>
      <w:r w:rsidR="00600473">
        <w:rPr>
          <w:rFonts w:cs="Arial"/>
        </w:rPr>
        <w:t>)</w:t>
      </w:r>
      <w:r w:rsidR="00600473">
        <w:rPr>
          <w:lang w:bidi="he-IL"/>
        </w:rPr>
        <w:t xml:space="preserve">: Stunned </w:t>
      </w:r>
      <w:proofErr w:type="spellStart"/>
      <w:r w:rsidR="00600473">
        <w:rPr>
          <w:lang w:bidi="he-IL"/>
        </w:rPr>
        <w:t>Languaging</w:t>
      </w:r>
      <w:proofErr w:type="spellEnd"/>
      <w:r w:rsidR="00600473">
        <w:rPr>
          <w:lang w:bidi="he-IL"/>
        </w:rPr>
        <w:t>, Grief and Spirituality</w:t>
      </w:r>
    </w:p>
    <w:p w14:paraId="3AA9A64C" w14:textId="77777777" w:rsidR="00600473" w:rsidRDefault="00600473" w:rsidP="000E3642">
      <w:pPr>
        <w:ind w:firstLine="720"/>
        <w:rPr>
          <w:lang w:bidi="he-IL"/>
        </w:rPr>
      </w:pPr>
      <w:r>
        <w:rPr>
          <w:lang w:bidi="he-IL"/>
        </w:rPr>
        <w:t>Khawla Badwan (Manchester), Alison Phipps (Glasgow)</w:t>
      </w:r>
    </w:p>
    <w:p w14:paraId="195D7798" w14:textId="77777777" w:rsidR="00600473" w:rsidRDefault="00600473" w:rsidP="00600473">
      <w:pPr>
        <w:rPr>
          <w:lang w:bidi="he-IL"/>
        </w:rPr>
      </w:pPr>
      <w:r>
        <w:rPr>
          <w:lang w:bidi="he-IL"/>
        </w:rPr>
        <w:t xml:space="preserve">As intercultural education scholars we present this talk as a call to explore the role of spirituality in the construction of genres of grief while bearing witness to the livestreamed [plausible] genocide in Gaza. We ask what happens when grief is experienced collectively, digitally, immensely and continuously? We discuss our daily poetic cries as a form of stunned </w:t>
      </w:r>
      <w:proofErr w:type="spellStart"/>
      <w:r>
        <w:rPr>
          <w:lang w:bidi="he-IL"/>
        </w:rPr>
        <w:t>languaging</w:t>
      </w:r>
      <w:proofErr w:type="spellEnd"/>
      <w:r>
        <w:rPr>
          <w:lang w:bidi="he-IL"/>
        </w:rPr>
        <w:t xml:space="preserve"> that insists on mobility, agility, survival, or destruction, jolting us on to new ways of caring and mourning and living with words. Such </w:t>
      </w:r>
      <w:proofErr w:type="spellStart"/>
      <w:r>
        <w:rPr>
          <w:lang w:bidi="he-IL"/>
        </w:rPr>
        <w:t>languaging</w:t>
      </w:r>
      <w:proofErr w:type="spellEnd"/>
      <w:r>
        <w:rPr>
          <w:lang w:bidi="he-IL"/>
        </w:rPr>
        <w:t xml:space="preserve"> practices sought refuge in different theological traditions of prayers and protests as a holding to centuries of a language of care, of listening and attention, of intercession and petition, but in a new form. This is not language used in either the classroom or lecture hall or the street protests or being used in Sunday prayers in churches or Friday speeches in masjids. Yet it is made of </w:t>
      </w:r>
      <w:proofErr w:type="gramStart"/>
      <w:r>
        <w:rPr>
          <w:lang w:bidi="he-IL"/>
        </w:rPr>
        <w:t>all of</w:t>
      </w:r>
      <w:proofErr w:type="gramEnd"/>
      <w:r>
        <w:rPr>
          <w:lang w:bidi="he-IL"/>
        </w:rPr>
        <w:t xml:space="preserve"> these discourses and fuses and escapes (</w:t>
      </w:r>
      <w:proofErr w:type="spellStart"/>
      <w:r>
        <w:rPr>
          <w:lang w:bidi="he-IL"/>
        </w:rPr>
        <w:t>Akómoláfé</w:t>
      </w:r>
      <w:proofErr w:type="spellEnd"/>
      <w:r>
        <w:rPr>
          <w:lang w:bidi="he-IL"/>
        </w:rPr>
        <w:t xml:space="preserve">, 2023) with something from these dialogic spaces of call and response, of learning and protest, to attempt a newness, a post-activism in speech in the hope, active hope of a response. In this talk, we present examples from our experiences of stunned </w:t>
      </w:r>
      <w:proofErr w:type="spellStart"/>
      <w:r>
        <w:rPr>
          <w:lang w:bidi="he-IL"/>
        </w:rPr>
        <w:t>languaging</w:t>
      </w:r>
      <w:proofErr w:type="spellEnd"/>
      <w:r>
        <w:rPr>
          <w:lang w:bidi="he-IL"/>
        </w:rPr>
        <w:t xml:space="preserve"> as a form of bearing witness, breaking silences and finding words to speak against conditions of </w:t>
      </w:r>
      <w:proofErr w:type="spellStart"/>
      <w:r>
        <w:rPr>
          <w:lang w:bidi="he-IL"/>
        </w:rPr>
        <w:t>unspeakability</w:t>
      </w:r>
      <w:proofErr w:type="spellEnd"/>
      <w:r>
        <w:rPr>
          <w:lang w:bidi="he-IL"/>
        </w:rPr>
        <w:t>. Experiences we describe as an undertaking:</w:t>
      </w:r>
    </w:p>
    <w:p w14:paraId="31C1CEB9" w14:textId="77777777" w:rsidR="00600473" w:rsidRDefault="00600473" w:rsidP="000E3642">
      <w:pPr>
        <w:spacing w:after="0"/>
        <w:rPr>
          <w:lang w:bidi="he-IL"/>
        </w:rPr>
      </w:pPr>
      <w:r>
        <w:rPr>
          <w:lang w:bidi="he-IL"/>
        </w:rPr>
        <w:t>A task, an undertaking.</w:t>
      </w:r>
    </w:p>
    <w:p w14:paraId="73245423" w14:textId="77777777" w:rsidR="00600473" w:rsidRDefault="00600473" w:rsidP="000E3642">
      <w:pPr>
        <w:spacing w:after="0"/>
        <w:rPr>
          <w:lang w:bidi="he-IL"/>
        </w:rPr>
      </w:pPr>
      <w:r>
        <w:rPr>
          <w:lang w:bidi="he-IL"/>
        </w:rPr>
        <w:t>A laborious work, a duty.</w:t>
      </w:r>
    </w:p>
    <w:p w14:paraId="53BCC71D" w14:textId="77777777" w:rsidR="00600473" w:rsidRDefault="00600473" w:rsidP="000E3642">
      <w:pPr>
        <w:spacing w:after="0"/>
        <w:rPr>
          <w:lang w:bidi="he-IL"/>
        </w:rPr>
      </w:pPr>
      <w:r>
        <w:rPr>
          <w:lang w:bidi="he-IL"/>
        </w:rPr>
        <w:t>To find words, to force letters.</w:t>
      </w:r>
    </w:p>
    <w:p w14:paraId="0C2F7BE1" w14:textId="77777777" w:rsidR="00600473" w:rsidRDefault="00600473" w:rsidP="000E3642">
      <w:pPr>
        <w:spacing w:after="0"/>
        <w:rPr>
          <w:lang w:bidi="he-IL"/>
        </w:rPr>
      </w:pPr>
      <w:r>
        <w:rPr>
          <w:lang w:bidi="he-IL"/>
        </w:rPr>
        <w:t>On the page.</w:t>
      </w:r>
    </w:p>
    <w:p w14:paraId="14B02023" w14:textId="77777777" w:rsidR="00600473" w:rsidRDefault="00600473" w:rsidP="000E3642">
      <w:pPr>
        <w:spacing w:after="0"/>
        <w:rPr>
          <w:lang w:bidi="he-IL"/>
        </w:rPr>
      </w:pPr>
      <w:r>
        <w:rPr>
          <w:lang w:bidi="he-IL"/>
        </w:rPr>
        <w:t>To scream, to cry.</w:t>
      </w:r>
    </w:p>
    <w:p w14:paraId="43CD9770" w14:textId="77777777" w:rsidR="00600473" w:rsidRDefault="00600473" w:rsidP="000E3642">
      <w:pPr>
        <w:spacing w:after="0"/>
        <w:rPr>
          <w:lang w:bidi="he-IL"/>
        </w:rPr>
      </w:pPr>
      <w:r>
        <w:rPr>
          <w:lang w:bidi="he-IL"/>
        </w:rPr>
        <w:t>To see things,</w:t>
      </w:r>
    </w:p>
    <w:p w14:paraId="41376A6C" w14:textId="77777777" w:rsidR="00600473" w:rsidRDefault="00600473" w:rsidP="000E3642">
      <w:pPr>
        <w:spacing w:after="0"/>
        <w:rPr>
          <w:lang w:bidi="he-IL"/>
        </w:rPr>
      </w:pPr>
      <w:r>
        <w:rPr>
          <w:lang w:bidi="he-IL"/>
        </w:rPr>
        <w:t>Unbearable.</w:t>
      </w:r>
    </w:p>
    <w:p w14:paraId="05FA76B2" w14:textId="77777777" w:rsidR="00600473" w:rsidRDefault="00600473" w:rsidP="000E3642">
      <w:pPr>
        <w:spacing w:after="0"/>
        <w:rPr>
          <w:lang w:bidi="he-IL"/>
        </w:rPr>
      </w:pPr>
      <w:r>
        <w:rPr>
          <w:lang w:bidi="he-IL"/>
        </w:rPr>
        <w:t>To say things,</w:t>
      </w:r>
    </w:p>
    <w:p w14:paraId="74A84CBF" w14:textId="77777777" w:rsidR="00600473" w:rsidRDefault="00600473" w:rsidP="000E3642">
      <w:pPr>
        <w:spacing w:after="0"/>
        <w:rPr>
          <w:lang w:bidi="he-IL"/>
        </w:rPr>
      </w:pPr>
      <w:r>
        <w:rPr>
          <w:lang w:bidi="he-IL"/>
        </w:rPr>
        <w:t>Unbelievable.</w:t>
      </w:r>
    </w:p>
    <w:p w14:paraId="77954387" w14:textId="77777777" w:rsidR="00600473" w:rsidRDefault="00600473" w:rsidP="000E3642">
      <w:pPr>
        <w:spacing w:after="0"/>
        <w:rPr>
          <w:lang w:bidi="he-IL"/>
        </w:rPr>
      </w:pPr>
      <w:r>
        <w:rPr>
          <w:lang w:bidi="he-IL"/>
        </w:rPr>
        <w:t>To fill the page,</w:t>
      </w:r>
    </w:p>
    <w:p w14:paraId="344C93E5" w14:textId="77777777" w:rsidR="00600473" w:rsidRDefault="00600473" w:rsidP="000E3642">
      <w:pPr>
        <w:spacing w:after="0"/>
        <w:rPr>
          <w:lang w:bidi="he-IL"/>
        </w:rPr>
      </w:pPr>
      <w:r>
        <w:rPr>
          <w:lang w:bidi="he-IL"/>
        </w:rPr>
        <w:t>Unshakable.</w:t>
      </w:r>
    </w:p>
    <w:p w14:paraId="78D289C9" w14:textId="77777777" w:rsidR="00600473" w:rsidRDefault="00600473" w:rsidP="000E3642">
      <w:pPr>
        <w:spacing w:after="0"/>
        <w:rPr>
          <w:lang w:bidi="he-IL"/>
        </w:rPr>
      </w:pPr>
      <w:r>
        <w:rPr>
          <w:lang w:bidi="he-IL"/>
        </w:rPr>
        <w:t>In times of the unspeakable.</w:t>
      </w:r>
    </w:p>
    <w:p w14:paraId="3FFCDCCE" w14:textId="77777777" w:rsidR="00600473" w:rsidRDefault="00600473" w:rsidP="000E3642">
      <w:pPr>
        <w:spacing w:after="0"/>
        <w:rPr>
          <w:lang w:bidi="he-IL"/>
        </w:rPr>
      </w:pPr>
      <w:r>
        <w:rPr>
          <w:lang w:bidi="he-IL"/>
        </w:rPr>
        <w:t>To breathe in pain.</w:t>
      </w:r>
    </w:p>
    <w:p w14:paraId="62AF9D2E" w14:textId="77777777" w:rsidR="00600473" w:rsidRDefault="00600473" w:rsidP="000E3642">
      <w:pPr>
        <w:spacing w:after="0"/>
        <w:rPr>
          <w:lang w:bidi="he-IL"/>
        </w:rPr>
      </w:pPr>
      <w:r>
        <w:rPr>
          <w:lang w:bidi="he-IL"/>
        </w:rPr>
        <w:t>And breathe out words.</w:t>
      </w:r>
    </w:p>
    <w:p w14:paraId="062DDF75" w14:textId="77777777" w:rsidR="00600473" w:rsidRDefault="00600473" w:rsidP="000E3642">
      <w:pPr>
        <w:spacing w:after="0"/>
        <w:rPr>
          <w:lang w:bidi="he-IL"/>
        </w:rPr>
      </w:pPr>
      <w:r>
        <w:rPr>
          <w:lang w:bidi="he-IL"/>
        </w:rPr>
        <w:t>When words are too weak,</w:t>
      </w:r>
    </w:p>
    <w:p w14:paraId="28E234A4" w14:textId="77777777" w:rsidR="00600473" w:rsidRDefault="00600473" w:rsidP="000E3642">
      <w:pPr>
        <w:spacing w:after="0"/>
        <w:rPr>
          <w:lang w:bidi="he-IL"/>
        </w:rPr>
      </w:pPr>
      <w:r>
        <w:rPr>
          <w:lang w:bidi="he-IL"/>
        </w:rPr>
        <w:t>Too fragile to hold.</w:t>
      </w:r>
    </w:p>
    <w:p w14:paraId="090A46B5" w14:textId="77777777" w:rsidR="00600473" w:rsidRDefault="00600473" w:rsidP="000E3642">
      <w:pPr>
        <w:spacing w:after="0"/>
        <w:rPr>
          <w:lang w:bidi="he-IL"/>
        </w:rPr>
      </w:pPr>
      <w:r>
        <w:rPr>
          <w:lang w:bidi="he-IL"/>
        </w:rPr>
        <w:t>When breathing is a task.</w:t>
      </w:r>
    </w:p>
    <w:p w14:paraId="6A473A09" w14:textId="77777777" w:rsidR="00600473" w:rsidRDefault="00600473" w:rsidP="000E3642">
      <w:pPr>
        <w:spacing w:after="0"/>
        <w:rPr>
          <w:lang w:bidi="he-IL"/>
        </w:rPr>
      </w:pPr>
      <w:r>
        <w:rPr>
          <w:lang w:bidi="he-IL"/>
        </w:rPr>
        <w:t>An undertaking.</w:t>
      </w:r>
    </w:p>
    <w:p w14:paraId="498A5285" w14:textId="77777777" w:rsidR="00600473" w:rsidRDefault="00600473" w:rsidP="000E3642">
      <w:pPr>
        <w:spacing w:after="0"/>
        <w:rPr>
          <w:lang w:bidi="he-IL"/>
        </w:rPr>
      </w:pPr>
      <w:r>
        <w:rPr>
          <w:lang w:bidi="he-IL"/>
        </w:rPr>
        <w:t>Such is a duty to practice,</w:t>
      </w:r>
    </w:p>
    <w:p w14:paraId="5A8C9DB1" w14:textId="77777777" w:rsidR="00600473" w:rsidRDefault="00600473" w:rsidP="000E3642">
      <w:pPr>
        <w:spacing w:after="0"/>
        <w:rPr>
          <w:lang w:bidi="he-IL"/>
        </w:rPr>
      </w:pPr>
      <w:r>
        <w:rPr>
          <w:lang w:bidi="he-IL"/>
        </w:rPr>
        <w:t>Daily.</w:t>
      </w:r>
    </w:p>
    <w:p w14:paraId="5F8A8649" w14:textId="77777777" w:rsidR="00600473" w:rsidRDefault="00600473" w:rsidP="00601FD6">
      <w:pPr>
        <w:spacing w:before="240" w:after="0"/>
        <w:rPr>
          <w:lang w:bidi="he-IL"/>
        </w:rPr>
      </w:pPr>
      <w:r w:rsidRPr="0023118C">
        <w:rPr>
          <w:i/>
          <w:iCs/>
          <w:lang w:bidi="he-IL"/>
        </w:rPr>
        <w:t>References</w:t>
      </w:r>
      <w:r>
        <w:rPr>
          <w:lang w:bidi="he-IL"/>
        </w:rPr>
        <w:t xml:space="preserve"> </w:t>
      </w:r>
    </w:p>
    <w:p w14:paraId="604E8971" w14:textId="77777777" w:rsidR="00600473" w:rsidRPr="0023118C" w:rsidRDefault="00600473" w:rsidP="00600473">
      <w:pPr>
        <w:spacing w:after="0"/>
        <w:rPr>
          <w:sz w:val="20"/>
          <w:szCs w:val="20"/>
          <w:lang w:bidi="he-IL"/>
        </w:rPr>
      </w:pPr>
      <w:proofErr w:type="spellStart"/>
      <w:r w:rsidRPr="0023118C">
        <w:rPr>
          <w:sz w:val="20"/>
          <w:szCs w:val="20"/>
          <w:lang w:bidi="he-IL"/>
        </w:rPr>
        <w:t>Akómoláfé</w:t>
      </w:r>
      <w:proofErr w:type="spellEnd"/>
      <w:r w:rsidRPr="0023118C">
        <w:rPr>
          <w:sz w:val="20"/>
          <w:szCs w:val="20"/>
          <w:lang w:bidi="he-IL"/>
        </w:rPr>
        <w:t xml:space="preserve">, B. (2023). </w:t>
      </w:r>
      <w:r w:rsidRPr="0023118C">
        <w:rPr>
          <w:i/>
          <w:iCs/>
          <w:sz w:val="20"/>
          <w:szCs w:val="20"/>
          <w:lang w:bidi="he-IL"/>
        </w:rPr>
        <w:t>The Lines that Whisper Us</w:t>
      </w:r>
      <w:r w:rsidRPr="0023118C">
        <w:rPr>
          <w:sz w:val="20"/>
          <w:szCs w:val="20"/>
          <w:lang w:bidi="he-IL"/>
        </w:rPr>
        <w:t xml:space="preserve">. </w:t>
      </w:r>
      <w:hyperlink r:id="rId6" w:history="1">
        <w:r w:rsidRPr="0023118C">
          <w:rPr>
            <w:rStyle w:val="Hyperlink"/>
            <w:sz w:val="20"/>
            <w:szCs w:val="20"/>
            <w:lang w:bidi="he-IL"/>
          </w:rPr>
          <w:t>https://www.bayoakomolafe.net/post/the-lines-that-whisper-us-rethinking-agency-and-accountability-in-the-middle-east-through-the-more-than-human</w:t>
        </w:r>
      </w:hyperlink>
      <w:r w:rsidRPr="0023118C">
        <w:rPr>
          <w:sz w:val="20"/>
          <w:szCs w:val="20"/>
          <w:lang w:bidi="he-IL"/>
        </w:rPr>
        <w:t xml:space="preserve"> </w:t>
      </w:r>
    </w:p>
    <w:p w14:paraId="584F673F" w14:textId="3BB9E337" w:rsidR="00FA568C" w:rsidRDefault="00600473" w:rsidP="005D3308">
      <w:pPr>
        <w:spacing w:after="0"/>
        <w:rPr>
          <w:sz w:val="20"/>
          <w:szCs w:val="20"/>
          <w:lang w:bidi="he-IL"/>
        </w:rPr>
      </w:pPr>
      <w:r w:rsidRPr="0023118C">
        <w:rPr>
          <w:sz w:val="20"/>
          <w:szCs w:val="20"/>
          <w:lang w:bidi="he-IL"/>
        </w:rPr>
        <w:t xml:space="preserve">Badwan, K and Phipps, A. (under review). </w:t>
      </w:r>
      <w:proofErr w:type="spellStart"/>
      <w:r w:rsidRPr="0023118C">
        <w:rPr>
          <w:i/>
          <w:iCs/>
          <w:sz w:val="20"/>
          <w:szCs w:val="20"/>
          <w:lang w:bidi="he-IL"/>
        </w:rPr>
        <w:t>Hospicing</w:t>
      </w:r>
      <w:proofErr w:type="spellEnd"/>
      <w:r w:rsidRPr="0023118C">
        <w:rPr>
          <w:i/>
          <w:iCs/>
          <w:sz w:val="20"/>
          <w:szCs w:val="20"/>
          <w:lang w:bidi="he-IL"/>
        </w:rPr>
        <w:t xml:space="preserve"> Gaza (</w:t>
      </w:r>
      <w:r w:rsidRPr="0023118C">
        <w:rPr>
          <w:rFonts w:cs="Arial"/>
          <w:i/>
          <w:iCs/>
          <w:sz w:val="20"/>
          <w:szCs w:val="20"/>
          <w:rtl/>
        </w:rPr>
        <w:t>غزة</w:t>
      </w:r>
      <w:r w:rsidRPr="0023118C">
        <w:rPr>
          <w:i/>
          <w:iCs/>
          <w:sz w:val="20"/>
          <w:szCs w:val="20"/>
          <w:lang w:bidi="he-IL"/>
        </w:rPr>
        <w:t xml:space="preserve">): Stunned </w:t>
      </w:r>
      <w:proofErr w:type="spellStart"/>
      <w:r w:rsidRPr="0023118C">
        <w:rPr>
          <w:i/>
          <w:iCs/>
          <w:sz w:val="20"/>
          <w:szCs w:val="20"/>
          <w:lang w:bidi="he-IL"/>
        </w:rPr>
        <w:t>Languaging</w:t>
      </w:r>
      <w:proofErr w:type="spellEnd"/>
      <w:r w:rsidRPr="0023118C">
        <w:rPr>
          <w:i/>
          <w:iCs/>
          <w:sz w:val="20"/>
          <w:szCs w:val="20"/>
          <w:lang w:bidi="he-IL"/>
        </w:rPr>
        <w:t>, Grief and the [Plausible] Genocide in an (</w:t>
      </w:r>
      <w:proofErr w:type="spellStart"/>
      <w:r w:rsidRPr="0023118C">
        <w:rPr>
          <w:i/>
          <w:iCs/>
          <w:sz w:val="20"/>
          <w:szCs w:val="20"/>
          <w:lang w:bidi="he-IL"/>
        </w:rPr>
        <w:t>Im</w:t>
      </w:r>
      <w:proofErr w:type="spellEnd"/>
      <w:r w:rsidRPr="0023118C">
        <w:rPr>
          <w:i/>
          <w:iCs/>
          <w:sz w:val="20"/>
          <w:szCs w:val="20"/>
          <w:lang w:bidi="he-IL"/>
        </w:rPr>
        <w:t>)mobile Intercultural World</w:t>
      </w:r>
      <w:r w:rsidRPr="0023118C">
        <w:rPr>
          <w:sz w:val="20"/>
          <w:szCs w:val="20"/>
          <w:lang w:bidi="he-IL"/>
        </w:rPr>
        <w:t>. Language and Intercultural Communicatio</w:t>
      </w:r>
      <w:r w:rsidR="00FA568C">
        <w:rPr>
          <w:sz w:val="20"/>
          <w:szCs w:val="20"/>
          <w:lang w:bidi="he-IL"/>
        </w:rPr>
        <w:t>n.</w:t>
      </w:r>
    </w:p>
    <w:p w14:paraId="42A8FCF8" w14:textId="5D47DC70" w:rsidR="00FA568C" w:rsidRDefault="00CB2EDD" w:rsidP="000E3642">
      <w:pPr>
        <w:pStyle w:val="Heading2"/>
        <w:shd w:val="clear" w:color="auto" w:fill="D9E2F3" w:themeFill="accent1" w:themeFillTint="33"/>
        <w:rPr>
          <w:lang w:bidi="he-IL"/>
        </w:rPr>
      </w:pPr>
      <w:r>
        <w:rPr>
          <w:lang w:bidi="he-IL"/>
        </w:rPr>
        <w:t>3.1</w:t>
      </w:r>
      <w:r w:rsidR="00FA568C">
        <w:rPr>
          <w:lang w:bidi="he-IL"/>
        </w:rPr>
        <w:t xml:space="preserve"> Genocide as the wages of sin: private finance, state (re)formation and the Palestine problem</w:t>
      </w:r>
    </w:p>
    <w:p w14:paraId="67FD8871" w14:textId="77777777" w:rsidR="00FA568C" w:rsidRDefault="00FA568C" w:rsidP="000E3642">
      <w:pPr>
        <w:ind w:firstLine="720"/>
        <w:rPr>
          <w:lang w:bidi="he-IL"/>
        </w:rPr>
      </w:pPr>
      <w:r>
        <w:rPr>
          <w:lang w:bidi="he-IL"/>
        </w:rPr>
        <w:t>Dania Thomas (Glasgow)</w:t>
      </w:r>
    </w:p>
    <w:p w14:paraId="44E82A85" w14:textId="77777777" w:rsidR="00601FD6" w:rsidRDefault="00FA568C" w:rsidP="00601FD6">
      <w:pPr>
        <w:spacing w:after="0"/>
        <w:rPr>
          <w:lang w:bidi="he-IL"/>
        </w:rPr>
      </w:pPr>
      <w:r>
        <w:rPr>
          <w:lang w:bidi="he-IL"/>
        </w:rPr>
        <w:t>Reuters recently reported that ‘Israel last month raised a record $8 billion in its first international bond sale since the Oct. 7 Hamas attacks, with very high demand even after Moody's gave Israel its first ever sovereign credit rating downgrade in February. The government in 2023 raised some 116 billion shekels, or 72% of the total, domestically, with 25% borrowed overseas and the rest in local non-tradable debt.”  Almost a year into an ongoing genocide has had a minimal impact on the ability of the state to raise private finance both locally and on international financial markets. Despite what has been termed as a genocide against religious minorities in India, the Indian state similarly has access to sustained private finance.</w:t>
      </w:r>
    </w:p>
    <w:p w14:paraId="2D701DC2" w14:textId="2B430373" w:rsidR="00FA568C" w:rsidRDefault="00FA568C" w:rsidP="00601FD6">
      <w:pPr>
        <w:spacing w:after="0"/>
        <w:ind w:firstLine="720"/>
        <w:rPr>
          <w:lang w:bidi="he-IL"/>
        </w:rPr>
      </w:pPr>
      <w:r>
        <w:rPr>
          <w:lang w:bidi="he-IL"/>
        </w:rPr>
        <w:t xml:space="preserve">The moral, religious, political and legal defence of the ongoing genocide in Gaza is in the process of recalibrating the secular institutional frameworks that showcased the post-war, liberal consensus. It appears that financial markets are seamlessly adjusting to this new reality for reasons that are still unclear.    Though few mainstream commentators in India will explicitly use the word ‘sin’ as justification for genocide, the rhetoric of the Modi government since </w:t>
      </w:r>
      <w:proofErr w:type="gramStart"/>
      <w:r>
        <w:rPr>
          <w:lang w:bidi="he-IL"/>
        </w:rPr>
        <w:t>October,</w:t>
      </w:r>
      <w:proofErr w:type="gramEnd"/>
      <w:r>
        <w:rPr>
          <w:lang w:bidi="he-IL"/>
        </w:rPr>
        <w:t xml:space="preserve"> 7th 2023 offering unconditional support to Benjamin Netanyahu’s government reveals a disturbing nexus between geopolitical interests and the Hindutva and Zionist state building projects.  Is the availability of sustained private finance facilitating these (re) formations?</w:t>
      </w:r>
    </w:p>
    <w:p w14:paraId="41326B6D" w14:textId="77777777" w:rsidR="00FA568C" w:rsidRDefault="00FA568C" w:rsidP="00601FD6">
      <w:pPr>
        <w:ind w:firstLine="720"/>
        <w:rPr>
          <w:lang w:bidi="he-IL"/>
        </w:rPr>
      </w:pPr>
      <w:r>
        <w:rPr>
          <w:lang w:bidi="he-IL"/>
        </w:rPr>
        <w:t>This geopolitical nexus between India and Israel has been attributed to Islamophobia as the common thread that binds the ruling parties of both states. Though ideological alignment and anti-Islamic sentiment does play its part, this paper argues that this nexus is founded on anxiety and deep insecurity that attends these national (re)formations. To assuage these anxieties, Palestine must be the source of the problem and resistance to colonialism must be viewed as sinful, justifying genocide. Parallels with Gaza can be seen in Kashmir. The wages of these sins justify eliminating the population of Gaza and destroying the possibility of a free Palestine state and Azad Kashmir. Is this unrestrained (and potentially unlimited) violence redeemed by the (re) formation of Israel as a Zionist state and India as Hindutva? Does the arc of this redemption story follow closely the redemption of debt in finance? Should the indifference of private capital markets to ongoing genocides be viewed instead as an alignment? What implication does this alignment have for the BDS movement as resistance?</w:t>
      </w:r>
    </w:p>
    <w:p w14:paraId="4650072B" w14:textId="30ABA813" w:rsidR="00FA568C" w:rsidRDefault="00CB2EDD" w:rsidP="000E3642">
      <w:pPr>
        <w:pStyle w:val="Heading2"/>
        <w:shd w:val="clear" w:color="auto" w:fill="D9E2F3" w:themeFill="accent1" w:themeFillTint="33"/>
        <w:rPr>
          <w:lang w:bidi="he-IL"/>
        </w:rPr>
      </w:pPr>
      <w:r>
        <w:rPr>
          <w:lang w:bidi="he-IL"/>
        </w:rPr>
        <w:t>3.2</w:t>
      </w:r>
      <w:r w:rsidR="00FA568C">
        <w:rPr>
          <w:lang w:bidi="he-IL"/>
        </w:rPr>
        <w:t xml:space="preserve"> Land </w:t>
      </w:r>
      <w:r w:rsidR="00A60C32">
        <w:rPr>
          <w:lang w:bidi="he-IL"/>
        </w:rPr>
        <w:t>F</w:t>
      </w:r>
      <w:r w:rsidR="00FA568C">
        <w:rPr>
          <w:lang w:bidi="he-IL"/>
        </w:rPr>
        <w:t>etishism</w:t>
      </w:r>
      <w:r w:rsidR="00A60C32">
        <w:rPr>
          <w:lang w:bidi="he-IL"/>
        </w:rPr>
        <w:t>, Colonialism,</w:t>
      </w:r>
      <w:r w:rsidR="00FA568C">
        <w:rPr>
          <w:lang w:bidi="he-IL"/>
        </w:rPr>
        <w:t xml:space="preserve"> and the Invention of the Judeo-Christian Heritage</w:t>
      </w:r>
    </w:p>
    <w:p w14:paraId="072FDCE8" w14:textId="77777777" w:rsidR="00FA568C" w:rsidRDefault="00FA568C" w:rsidP="000E3642">
      <w:pPr>
        <w:ind w:firstLine="720"/>
        <w:rPr>
          <w:lang w:bidi="he-IL"/>
        </w:rPr>
      </w:pPr>
      <w:r>
        <w:rPr>
          <w:lang w:bidi="he-IL"/>
        </w:rPr>
        <w:t>Ophira Gamliel (Glasgow)</w:t>
      </w:r>
    </w:p>
    <w:p w14:paraId="2FF10946" w14:textId="2D052A7C" w:rsidR="00A05D5E" w:rsidRDefault="005C2D6A" w:rsidP="00601FD6">
      <w:pPr>
        <w:spacing w:after="0"/>
        <w:rPr>
          <w:lang w:bidi="he-IL"/>
        </w:rPr>
      </w:pPr>
      <w:r w:rsidRPr="005C2D6A">
        <w:rPr>
          <w:lang w:bidi="he-IL"/>
        </w:rPr>
        <w:t xml:space="preserve">The perception of Zionism as a predominantly secular movement “tainted” by messianism would be naïve (cf. Lebovic 2008), risking turning a blind eye to the genocidal potential inherent in Zionism as a settler colonial project. Indeed, the genocidal frenzy sweeping Israeli society since 7/10/23, is fuelled by the West Bank settler ideology, concurrent with Patrick Wolfe’s analysis of the logic of elimination inherent within settler colonialism, where land rather than religion is the primary motive (Wolfe 2006, 388). Yet, the convergence of Jewish and Christian </w:t>
      </w:r>
      <w:proofErr w:type="spellStart"/>
      <w:r w:rsidRPr="005C2D6A">
        <w:rPr>
          <w:lang w:bidi="he-IL"/>
        </w:rPr>
        <w:t>Zionisms</w:t>
      </w:r>
      <w:proofErr w:type="spellEnd"/>
      <w:r w:rsidRPr="005C2D6A">
        <w:rPr>
          <w:lang w:bidi="he-IL"/>
        </w:rPr>
        <w:t xml:space="preserve"> driving settler colonialism in Palestine to its extreme genocidal end is not merely “weaponised” to serve the aim of land grabs but seems to structure the dynamic</w:t>
      </w:r>
      <w:r w:rsidR="0026064F">
        <w:rPr>
          <w:lang w:bidi="he-IL"/>
        </w:rPr>
        <w:t xml:space="preserve"> of the genocide</w:t>
      </w:r>
      <w:r w:rsidRPr="005C2D6A">
        <w:rPr>
          <w:lang w:bidi="he-IL"/>
        </w:rPr>
        <w:t xml:space="preserve"> and its justifications.</w:t>
      </w:r>
    </w:p>
    <w:p w14:paraId="4CFD8916" w14:textId="77777777" w:rsidR="00A05D5E" w:rsidRDefault="00A05D5E" w:rsidP="00601FD6">
      <w:pPr>
        <w:spacing w:after="0"/>
        <w:ind w:firstLine="720"/>
        <w:rPr>
          <w:lang w:bidi="he-IL"/>
        </w:rPr>
      </w:pPr>
      <w:r>
        <w:rPr>
          <w:lang w:bidi="he-IL"/>
        </w:rPr>
        <w:t xml:space="preserve">Arguably, the colonial logic of elimination is based on religious rationale that converges in what I refer to as ‘land fetishism’. The land as the fetish of settler expansion emerges alongside the evolution of early-modern messianic-mystical networks, that in my view herald the emergence of the modern and somewhat bizarre notion of the Judeo-Christian Heritage. Imagining lost tribes and lost kingdoms of Jews and Christians in distant Biblical landscapes has forged not only the earliest forms of Judeo-Christian religiosities (see Bendor Benite 2009, 113–34; </w:t>
      </w:r>
      <w:proofErr w:type="spellStart"/>
      <w:r>
        <w:rPr>
          <w:lang w:bidi="he-IL"/>
        </w:rPr>
        <w:t>Benmelech</w:t>
      </w:r>
      <w:proofErr w:type="spellEnd"/>
      <w:r>
        <w:rPr>
          <w:lang w:bidi="he-IL"/>
        </w:rPr>
        <w:t xml:space="preserve"> 2011), but also ushered the earliest geographical “discoveries” of long-distance routes that enabled the colonial expansion of the European trade companies and missionaries in the Atlantic and the Indian Ocean worlds.</w:t>
      </w:r>
    </w:p>
    <w:p w14:paraId="3580F5D9" w14:textId="77777777" w:rsidR="00A05D5E" w:rsidRDefault="00A05D5E" w:rsidP="00601FD6">
      <w:pPr>
        <w:spacing w:after="0"/>
        <w:ind w:firstLine="720"/>
        <w:rPr>
          <w:lang w:bidi="he-IL"/>
        </w:rPr>
      </w:pPr>
      <w:r>
        <w:rPr>
          <w:lang w:bidi="he-IL"/>
        </w:rPr>
        <w:t>This presentation focuses on the Judeo-Christian ideology underpinning the visualisation of land and landscapes as an object of religious fascination, aimed at forging strong, even erotic bonds between settlers and the landscapes they appropriate and transform, while erasing the indigenous populations, conceptually and physically.</w:t>
      </w:r>
    </w:p>
    <w:p w14:paraId="2F644C0B" w14:textId="77777777" w:rsidR="00A05D5E" w:rsidRDefault="00A05D5E" w:rsidP="00601FD6">
      <w:pPr>
        <w:spacing w:before="240" w:after="0"/>
        <w:rPr>
          <w:lang w:bidi="he-IL"/>
        </w:rPr>
      </w:pPr>
      <w:r w:rsidRPr="00601FD6">
        <w:rPr>
          <w:i/>
          <w:iCs/>
          <w:lang w:bidi="he-IL"/>
        </w:rPr>
        <w:t>References</w:t>
      </w:r>
    </w:p>
    <w:p w14:paraId="35C5FD0A" w14:textId="77777777" w:rsidR="00A05D5E" w:rsidRPr="00601FD6" w:rsidRDefault="00A05D5E" w:rsidP="00601FD6">
      <w:pPr>
        <w:spacing w:after="0"/>
        <w:rPr>
          <w:sz w:val="20"/>
          <w:szCs w:val="18"/>
          <w:lang w:bidi="he-IL"/>
        </w:rPr>
      </w:pPr>
      <w:r w:rsidRPr="00601FD6">
        <w:rPr>
          <w:sz w:val="20"/>
          <w:szCs w:val="18"/>
          <w:lang w:bidi="he-IL"/>
        </w:rPr>
        <w:t>Ben-Dor Benite, Zvi. 2009. The Ten Lost Tribes: A World History. New York/Oxford: Oxford University Press.</w:t>
      </w:r>
    </w:p>
    <w:p w14:paraId="07894792" w14:textId="77777777" w:rsidR="00A05D5E" w:rsidRPr="00601FD6" w:rsidRDefault="00A05D5E" w:rsidP="00601FD6">
      <w:pPr>
        <w:spacing w:after="0"/>
        <w:rPr>
          <w:sz w:val="20"/>
          <w:szCs w:val="18"/>
          <w:lang w:bidi="he-IL"/>
        </w:rPr>
      </w:pPr>
      <w:proofErr w:type="spellStart"/>
      <w:r w:rsidRPr="00601FD6">
        <w:rPr>
          <w:sz w:val="20"/>
          <w:szCs w:val="18"/>
          <w:lang w:bidi="he-IL"/>
        </w:rPr>
        <w:t>Benmelech</w:t>
      </w:r>
      <w:proofErr w:type="spellEnd"/>
      <w:r w:rsidRPr="00601FD6">
        <w:rPr>
          <w:sz w:val="20"/>
          <w:szCs w:val="18"/>
          <w:lang w:bidi="he-IL"/>
        </w:rPr>
        <w:t>, Moti. 2011. “History, Politics, and Messianism: David Ha-Reuveni’s Origin and Mission.” AJS Review 35(1): 35–60.</w:t>
      </w:r>
    </w:p>
    <w:p w14:paraId="388B64D6" w14:textId="77777777" w:rsidR="00A05D5E" w:rsidRPr="00601FD6" w:rsidRDefault="00A05D5E" w:rsidP="00601FD6">
      <w:pPr>
        <w:spacing w:after="0"/>
        <w:rPr>
          <w:sz w:val="20"/>
          <w:szCs w:val="18"/>
          <w:lang w:bidi="he-IL"/>
        </w:rPr>
      </w:pPr>
      <w:r w:rsidRPr="00601FD6">
        <w:rPr>
          <w:sz w:val="20"/>
          <w:szCs w:val="18"/>
          <w:lang w:bidi="he-IL"/>
        </w:rPr>
        <w:t xml:space="preserve">Lebovic, Nitzan. 2008. "The Jerusalem School: The </w:t>
      </w:r>
      <w:proofErr w:type="spellStart"/>
      <w:r w:rsidRPr="00601FD6">
        <w:rPr>
          <w:sz w:val="20"/>
          <w:szCs w:val="18"/>
          <w:lang w:bidi="he-IL"/>
        </w:rPr>
        <w:t>Theopolitical</w:t>
      </w:r>
      <w:proofErr w:type="spellEnd"/>
      <w:r w:rsidRPr="00601FD6">
        <w:rPr>
          <w:sz w:val="20"/>
          <w:szCs w:val="18"/>
          <w:lang w:bidi="he-IL"/>
        </w:rPr>
        <w:t xml:space="preserve"> Hour." New German Critique 35 (3): 97–120.</w:t>
      </w:r>
    </w:p>
    <w:p w14:paraId="7594BE10" w14:textId="56A83371" w:rsidR="005D3308" w:rsidRPr="00601FD6" w:rsidRDefault="00A05D5E" w:rsidP="00A05D5E">
      <w:pPr>
        <w:rPr>
          <w:sz w:val="20"/>
          <w:szCs w:val="18"/>
        </w:rPr>
      </w:pPr>
      <w:r w:rsidRPr="00601FD6">
        <w:rPr>
          <w:sz w:val="20"/>
          <w:szCs w:val="18"/>
          <w:lang w:bidi="he-IL"/>
        </w:rPr>
        <w:t>Wolfe, Patrick. 2006. “Settler colonialism and the elimination of the native.” Journal of Genocide Research 8(4): 387–409.</w:t>
      </w:r>
    </w:p>
    <w:p w14:paraId="45D384E1" w14:textId="6F8DCE65" w:rsidR="00600473" w:rsidRDefault="00CB2EDD" w:rsidP="00601FD6">
      <w:pPr>
        <w:pStyle w:val="Heading2"/>
        <w:shd w:val="clear" w:color="auto" w:fill="D9E2F3" w:themeFill="accent1" w:themeFillTint="33"/>
      </w:pPr>
      <w:r>
        <w:t>4.1</w:t>
      </w:r>
      <w:r w:rsidR="00600473">
        <w:t xml:space="preserve"> Religion and Genocidal Imagination: The Case of Tigray-Ethiopia</w:t>
      </w:r>
    </w:p>
    <w:p w14:paraId="5E9D7923" w14:textId="4B0BF3D4" w:rsidR="00600473" w:rsidRPr="00DF7876" w:rsidRDefault="00600473" w:rsidP="00601FD6">
      <w:pPr>
        <w:ind w:firstLine="720"/>
        <w:rPr>
          <w:lang w:val="de-DE"/>
        </w:rPr>
      </w:pPr>
      <w:r w:rsidRPr="00DF7876">
        <w:rPr>
          <w:lang w:val="de-DE"/>
        </w:rPr>
        <w:t>Theodros Assefa Teklu (</w:t>
      </w:r>
      <w:r w:rsidR="00934176">
        <w:rPr>
          <w:lang w:val="de-DE"/>
        </w:rPr>
        <w:t>Stirling/</w:t>
      </w:r>
      <w:r w:rsidRPr="00DF7876">
        <w:rPr>
          <w:lang w:val="de-DE"/>
        </w:rPr>
        <w:t>Stellenbosch)</w:t>
      </w:r>
    </w:p>
    <w:p w14:paraId="2F3CAD5D" w14:textId="76E40839" w:rsidR="00600473" w:rsidRPr="00600473" w:rsidRDefault="00600473" w:rsidP="00600473">
      <w:r>
        <w:t xml:space="preserve">In 2020, a year after he received the Nobel Peace Prize, Ethiopia’s Prime Minister Abiy Ahmed waged war against Tigray, a regional federal state within the Ethiopian federation. During the war (2020-2022) and in the pre-war build-up period since 2018, the political arena and the (digital) public spheres were highly infused with religious texts and images. While several studies that shed light on this devastating war are now emerging, the interplay between the religious and the political domains that fostered a genocidal imagination has not received the scholarly attention it deserves. This paper aims to fill this gap by tracing the emergence of new tropes and stylistic devices rooted in pervasive religious imagery and language to illustrate how religion’s capacity to imbue genocidal endeavours with a heightened messianic zeal is enhanced by an increasingly pronounced demonization of the ‘other’.  As this dynamic is not necessarily uncommon in comparative perspectives, this paper asks what </w:t>
      </w:r>
      <w:proofErr w:type="gramStart"/>
      <w:r>
        <w:t>is distinctively Ethiopian about it</w:t>
      </w:r>
      <w:proofErr w:type="gramEnd"/>
      <w:r>
        <w:t xml:space="preserve"> and how this case might help us think more deeply about the religious underpinnings of genocides. To this end, it analyses the digital archives containing theologically saturated images and texts, such as speeches and posts by the political elite, self-styled activists, religious figures, and ordinary citizens. The paper concludes by accentuating the need to reconsider the relationship between the theological and the political, significantly since theological language can contribute to the construction of enmity and malignancy that shapes the genocidal mindset of societies. </w:t>
      </w:r>
    </w:p>
    <w:p w14:paraId="3795CE04" w14:textId="3159CB25" w:rsidR="001C2A6F" w:rsidRPr="001C2A6F" w:rsidRDefault="00CB2EDD" w:rsidP="00601FD6">
      <w:pPr>
        <w:pStyle w:val="Heading2"/>
        <w:shd w:val="clear" w:color="auto" w:fill="D9E2F3" w:themeFill="accent1" w:themeFillTint="33"/>
      </w:pPr>
      <w:r>
        <w:t>4.2</w:t>
      </w:r>
      <w:r w:rsidR="00600473">
        <w:t xml:space="preserve"> </w:t>
      </w:r>
      <w:r w:rsidR="001C2A6F" w:rsidRPr="001C2A6F">
        <w:t>Interpretations of the Simeon and Levi Deed in Israeli discourse during operation Iron Swords</w:t>
      </w:r>
    </w:p>
    <w:p w14:paraId="6CDFE58C" w14:textId="297FEEE8" w:rsidR="001C2A6F" w:rsidRDefault="001C2A6F" w:rsidP="00601FD6">
      <w:pPr>
        <w:ind w:firstLine="720"/>
        <w:rPr>
          <w:lang w:val="en"/>
        </w:rPr>
      </w:pPr>
      <w:r>
        <w:rPr>
          <w:lang w:val="en"/>
        </w:rPr>
        <w:t>Edo Amin (Rehovot)</w:t>
      </w:r>
    </w:p>
    <w:p w14:paraId="090D3883" w14:textId="7CA4503A" w:rsidR="001C2A6F" w:rsidRPr="001C2A6F" w:rsidRDefault="001C2A6F" w:rsidP="001C2A6F">
      <w:pPr>
        <w:spacing w:after="0"/>
        <w:rPr>
          <w:lang w:val="en"/>
        </w:rPr>
      </w:pPr>
      <w:r w:rsidRPr="001C2A6F">
        <w:rPr>
          <w:lang w:val="en"/>
        </w:rPr>
        <w:t>The Simeon and Levi Deed is a genocidal revenge for the rape of Dinah in Genesis, during the lifetime of Jacob. In Steinberg’s (1987) view it is a story about “human conduct rather than divine order”, in which the narrator is deliberately “entangling the moral issues”, so its human characters “apparently enjoy free play” to carry out morally unacceptable actions. Alter (1989) supports this view.  This “delicate balance” (Steinberg, 1973) has borne different interpretations: on one</w:t>
      </w:r>
      <w:r>
        <w:rPr>
          <w:lang w:val="en"/>
        </w:rPr>
        <w:t xml:space="preserve"> the</w:t>
      </w:r>
      <w:r w:rsidRPr="001C2A6F">
        <w:rPr>
          <w:lang w:val="en"/>
        </w:rPr>
        <w:t xml:space="preserve"> hand, “the reader could hardly help condemning Jacob's sons for the shocking disproportionateness of their retaliation” (Steinberg, 1987); on the other hand, several interpreters have “commended the brothers for their bravery… mixing their interpretation of the text with their worldview and the logic of their own heart” (</w:t>
      </w:r>
      <w:proofErr w:type="spellStart"/>
      <w:r w:rsidRPr="001C2A6F">
        <w:rPr>
          <w:lang w:val="en"/>
        </w:rPr>
        <w:t>Hayun</w:t>
      </w:r>
      <w:proofErr w:type="spellEnd"/>
      <w:r w:rsidRPr="001C2A6F">
        <w:rPr>
          <w:lang w:val="en"/>
        </w:rPr>
        <w:t xml:space="preserve">, 2011). </w:t>
      </w:r>
    </w:p>
    <w:p w14:paraId="15386031" w14:textId="66FF2F83" w:rsidR="001C2A6F" w:rsidRDefault="001C2A6F" w:rsidP="001C2A6F">
      <w:pPr>
        <w:spacing w:after="0"/>
        <w:ind w:firstLine="720"/>
        <w:rPr>
          <w:lang w:val="en"/>
        </w:rPr>
      </w:pPr>
      <w:r w:rsidRPr="001C2A6F">
        <w:rPr>
          <w:lang w:val="en"/>
        </w:rPr>
        <w:t>The wave of references to Simeon and Levi in Israeli discourse in November and December 2023, during operation Iron Swords, arguably chooses the severe “divine order” interpretation over the “human conduct” one, as reflected in substantial media materials: textual, verbal and audio-visual, from military personnel as well as from politicians and influencers. Israel</w:t>
      </w:r>
      <w:r>
        <w:rPr>
          <w:lang w:val="en"/>
        </w:rPr>
        <w:t>’s</w:t>
      </w:r>
      <w:r w:rsidRPr="001C2A6F">
        <w:rPr>
          <w:lang w:val="en"/>
        </w:rPr>
        <w:t xml:space="preserve"> advocates in the UN compared abductees to Dinah, and soldiers in the field proudly referred to themselves as modern Simeon and Levi. It is notable that, in December, one such self-reference was cited by South Africa to the International Court of Justice at The Hague to support its Application of the Convention on the Prevention and Punishment of the Crime of Genocide in the Gaza Strip. </w:t>
      </w:r>
    </w:p>
    <w:p w14:paraId="66CDDF45" w14:textId="4A540B0A" w:rsidR="001C2A6F" w:rsidRPr="001C2A6F" w:rsidRDefault="001C2A6F" w:rsidP="001C2A6F">
      <w:pPr>
        <w:ind w:firstLine="720"/>
        <w:rPr>
          <w:lang w:val="en"/>
        </w:rPr>
      </w:pPr>
      <w:r w:rsidRPr="001C2A6F">
        <w:rPr>
          <w:lang w:val="en"/>
        </w:rPr>
        <w:t>My analysis presents these items of public discourse chronologically, demonstrating that the public appearance of the radicalized “divine order” interpretation of the narrative closely corresponds to significant religious year-cycle events. Finally, the time frame of my analysis ends with the opening documents of the legal case. Both interpretations of this narrative appear in the case documents; a court of human conduct is being asked to decide which, if any, interpretation shows intent.</w:t>
      </w:r>
    </w:p>
    <w:p w14:paraId="02FB5879" w14:textId="39CF5287" w:rsidR="001C2A6F" w:rsidRPr="001C2A6F" w:rsidRDefault="001C2A6F" w:rsidP="00601FD6">
      <w:pPr>
        <w:spacing w:after="0"/>
        <w:rPr>
          <w:lang w:val="en"/>
        </w:rPr>
      </w:pPr>
      <w:r w:rsidRPr="001C2A6F">
        <w:rPr>
          <w:i/>
          <w:iCs/>
          <w:lang w:val="en"/>
        </w:rPr>
        <w:t>References</w:t>
      </w:r>
    </w:p>
    <w:p w14:paraId="7F7DDDD7" w14:textId="7E22F977" w:rsidR="001C2A6F" w:rsidRPr="001C2A6F" w:rsidRDefault="001C2A6F" w:rsidP="001C2A6F">
      <w:pPr>
        <w:spacing w:after="0"/>
        <w:rPr>
          <w:sz w:val="20"/>
          <w:szCs w:val="20"/>
          <w:lang w:val="en"/>
        </w:rPr>
      </w:pPr>
      <w:r w:rsidRPr="001C2A6F">
        <w:rPr>
          <w:sz w:val="20"/>
          <w:szCs w:val="20"/>
          <w:lang w:val="en"/>
        </w:rPr>
        <w:t xml:space="preserve">Sternberg, Meir. </w:t>
      </w:r>
      <w:r w:rsidRPr="001C2A6F">
        <w:rPr>
          <w:i/>
          <w:iCs/>
          <w:sz w:val="20"/>
          <w:szCs w:val="20"/>
          <w:lang w:val="en"/>
        </w:rPr>
        <w:t>The poetics of biblical narrative: ideological literature and the drama of reading</w:t>
      </w:r>
      <w:r w:rsidRPr="001C2A6F">
        <w:rPr>
          <w:sz w:val="20"/>
          <w:szCs w:val="20"/>
          <w:lang w:val="en"/>
        </w:rPr>
        <w:t>. Indiana University Press, 1985.</w:t>
      </w:r>
    </w:p>
    <w:p w14:paraId="1AB470AE" w14:textId="77777777" w:rsidR="001C2A6F" w:rsidRPr="001C2A6F" w:rsidRDefault="001C2A6F" w:rsidP="001C2A6F">
      <w:pPr>
        <w:spacing w:after="0"/>
        <w:rPr>
          <w:sz w:val="20"/>
          <w:szCs w:val="20"/>
          <w:lang w:val="en"/>
        </w:rPr>
      </w:pPr>
      <w:r w:rsidRPr="001C2A6F">
        <w:rPr>
          <w:sz w:val="20"/>
          <w:szCs w:val="20"/>
          <w:lang w:val="en"/>
        </w:rPr>
        <w:t>Sternberg, Meir. Delicate Balance in the Story of the Rape of Dinah. Ha-</w:t>
      </w:r>
      <w:proofErr w:type="spellStart"/>
      <w:r w:rsidRPr="001C2A6F">
        <w:rPr>
          <w:sz w:val="20"/>
          <w:szCs w:val="20"/>
          <w:lang w:val="en"/>
        </w:rPr>
        <w:t>Sifrut</w:t>
      </w:r>
      <w:proofErr w:type="spellEnd"/>
      <w:r w:rsidRPr="001C2A6F">
        <w:rPr>
          <w:sz w:val="20"/>
          <w:szCs w:val="20"/>
          <w:lang w:val="en"/>
        </w:rPr>
        <w:t xml:space="preserve"> 4:2, April 1973, pp. 193–231</w:t>
      </w:r>
    </w:p>
    <w:p w14:paraId="17537916" w14:textId="77777777" w:rsidR="001C2A6F" w:rsidRPr="001C2A6F" w:rsidRDefault="001C2A6F" w:rsidP="001C2A6F">
      <w:pPr>
        <w:spacing w:after="0"/>
        <w:rPr>
          <w:sz w:val="20"/>
          <w:szCs w:val="20"/>
          <w:lang w:val="en"/>
        </w:rPr>
      </w:pPr>
      <w:r w:rsidRPr="001C2A6F">
        <w:rPr>
          <w:sz w:val="20"/>
          <w:szCs w:val="20"/>
          <w:lang w:val="en"/>
        </w:rPr>
        <w:t xml:space="preserve">Alter, Robert. </w:t>
      </w:r>
      <w:r w:rsidRPr="001C2A6F">
        <w:rPr>
          <w:i/>
          <w:iCs/>
          <w:sz w:val="20"/>
          <w:szCs w:val="20"/>
          <w:lang w:val="en"/>
        </w:rPr>
        <w:t>The Art of Biblical Narrative</w:t>
      </w:r>
      <w:r w:rsidRPr="001C2A6F">
        <w:rPr>
          <w:sz w:val="20"/>
          <w:szCs w:val="20"/>
          <w:lang w:val="en"/>
        </w:rPr>
        <w:t>. Basic Books, 1981, pp.89-96.</w:t>
      </w:r>
    </w:p>
    <w:p w14:paraId="57A5912D" w14:textId="5CD314C5" w:rsidR="0081057B" w:rsidRPr="00CB2EDD" w:rsidRDefault="001C2A6F" w:rsidP="00CB2EDD">
      <w:pPr>
        <w:spacing w:after="0"/>
        <w:rPr>
          <w:sz w:val="20"/>
          <w:szCs w:val="20"/>
          <w:lang w:val="en"/>
        </w:rPr>
      </w:pPr>
      <w:proofErr w:type="spellStart"/>
      <w:r w:rsidRPr="001C2A6F">
        <w:rPr>
          <w:sz w:val="20"/>
          <w:szCs w:val="20"/>
          <w:lang w:val="en"/>
        </w:rPr>
        <w:t>Hayun</w:t>
      </w:r>
      <w:proofErr w:type="spellEnd"/>
      <w:r w:rsidRPr="001C2A6F">
        <w:rPr>
          <w:sz w:val="20"/>
          <w:szCs w:val="20"/>
          <w:lang w:val="en"/>
        </w:rPr>
        <w:t xml:space="preserve">, Haim. </w:t>
      </w:r>
      <w:r w:rsidRPr="001C2A6F">
        <w:rPr>
          <w:i/>
          <w:iCs/>
          <w:sz w:val="20"/>
          <w:szCs w:val="20"/>
          <w:lang w:val="en"/>
        </w:rPr>
        <w:t>And Dinah Went Out</w:t>
      </w:r>
      <w:r w:rsidRPr="001C2A6F">
        <w:rPr>
          <w:sz w:val="20"/>
          <w:szCs w:val="20"/>
          <w:lang w:val="en"/>
        </w:rPr>
        <w:t>. Magnes Press, the Hebrew University, 2011.</w:t>
      </w:r>
    </w:p>
    <w:p w14:paraId="28458E0A" w14:textId="4D57FCA9" w:rsidR="00D14C50" w:rsidRDefault="00D14C50" w:rsidP="00601FD6">
      <w:pPr>
        <w:pStyle w:val="Heading2"/>
        <w:shd w:val="clear" w:color="auto" w:fill="D9E2F3" w:themeFill="accent1" w:themeFillTint="33"/>
        <w:rPr>
          <w:lang w:bidi="he-IL"/>
        </w:rPr>
      </w:pPr>
      <w:r>
        <w:rPr>
          <w:lang w:bidi="he-IL"/>
        </w:rPr>
        <w:t>5</w:t>
      </w:r>
      <w:r w:rsidR="00CB2EDD">
        <w:rPr>
          <w:lang w:bidi="he-IL"/>
        </w:rPr>
        <w:t>.</w:t>
      </w:r>
      <w:r>
        <w:rPr>
          <w:lang w:bidi="he-IL"/>
        </w:rPr>
        <w:t>1</w:t>
      </w:r>
      <w:r w:rsidR="00600473">
        <w:rPr>
          <w:lang w:bidi="he-IL"/>
        </w:rPr>
        <w:t xml:space="preserve"> </w:t>
      </w:r>
      <w:r>
        <w:t>Faith in the Face of Genocide: Liberation Theologies, Spiritual Indigeneity, and Decolonial Activism in Israel-Palestine</w:t>
      </w:r>
    </w:p>
    <w:p w14:paraId="0F66E49C" w14:textId="77777777" w:rsidR="00D14C50" w:rsidRDefault="00D14C50" w:rsidP="00D14C50">
      <w:r>
        <w:t>Caterina Bandini (University of Lille/CERAPS)</w:t>
      </w:r>
    </w:p>
    <w:p w14:paraId="795CF961" w14:textId="77777777" w:rsidR="00D14C50" w:rsidRDefault="00D14C50" w:rsidP="00D14C50">
      <w:pPr>
        <w:spacing w:after="0"/>
      </w:pPr>
      <w:r>
        <w:t>In the context of the ongoing genocidal war on Gaza, Palestinian, Israeli, and diaspora Jewish</w:t>
      </w:r>
    </w:p>
    <w:p w14:paraId="072C2E01" w14:textId="77777777" w:rsidR="00601FD6" w:rsidRDefault="00D14C50" w:rsidP="00601FD6">
      <w:pPr>
        <w:spacing w:after="0"/>
      </w:pPr>
      <w:r>
        <w:t>theologians and activists strive to promote a decolonial approach to religion. They read the Hebrew</w:t>
      </w:r>
      <w:r w:rsidR="00601FD6">
        <w:t xml:space="preserve"> </w:t>
      </w:r>
      <w:r>
        <w:t>and Christian Bible as a tool for liberation in the face of extreme violence, hate, and despair. This</w:t>
      </w:r>
      <w:r w:rsidR="00601FD6">
        <w:t xml:space="preserve"> </w:t>
      </w:r>
      <w:r>
        <w:t>hermeneutic is based on the idea that religion has a positive role to play in mitigating the</w:t>
      </w:r>
      <w:r w:rsidR="00601FD6">
        <w:t xml:space="preserve"> </w:t>
      </w:r>
      <w:r>
        <w:t>catastrophe caused by war.</w:t>
      </w:r>
    </w:p>
    <w:p w14:paraId="4622A2A6" w14:textId="0744730A" w:rsidR="00D14C50" w:rsidRDefault="00D14C50" w:rsidP="00601FD6">
      <w:pPr>
        <w:spacing w:after="0"/>
        <w:ind w:firstLine="720"/>
      </w:pPr>
      <w:r>
        <w:t>Based on extensive fieldwork carried out in Palestine-Israel on the themes of religion, activism, settler colonialism, and decolonisation, this paper aims to explore the religious perspective on resisting the genocide. To do so, I will analyse three political-theological fields of action: Christian</w:t>
      </w:r>
      <w:r w:rsidR="00601FD6">
        <w:t xml:space="preserve"> </w:t>
      </w:r>
      <w:r>
        <w:t>and Jewish liberation theologies (see Bandini, 2023, 2024, forthcoming;</w:t>
      </w:r>
      <w:r w:rsidR="00601FD6">
        <w:t xml:space="preserve"> </w:t>
      </w:r>
      <w:r>
        <w:t xml:space="preserve">Ellis, 2004; </w:t>
      </w:r>
      <w:proofErr w:type="spellStart"/>
      <w:r>
        <w:t>Munayer</w:t>
      </w:r>
      <w:proofErr w:type="spellEnd"/>
      <w:r>
        <w:t xml:space="preserve"> and</w:t>
      </w:r>
      <w:r w:rsidR="00601FD6">
        <w:t xml:space="preserve"> </w:t>
      </w:r>
      <w:proofErr w:type="spellStart"/>
      <w:r>
        <w:t>Munayer</w:t>
      </w:r>
      <w:proofErr w:type="spellEnd"/>
      <w:r>
        <w:t>, 2022; Raheb, 2023); the integration of a spiritual dimension into Indigenous Palestine</w:t>
      </w:r>
      <w:r w:rsidR="00601FD6">
        <w:t xml:space="preserve"> </w:t>
      </w:r>
      <w:r>
        <w:t>studies (see K</w:t>
      </w:r>
      <w:proofErr w:type="spellStart"/>
      <w:r>
        <w:t>hshiboon</w:t>
      </w:r>
      <w:proofErr w:type="spellEnd"/>
      <w:r>
        <w:t>, 2024); and North American Jewish decolonial activism (see Kroll-Zeldin,</w:t>
      </w:r>
      <w:r w:rsidR="00601FD6">
        <w:t xml:space="preserve"> </w:t>
      </w:r>
      <w:r>
        <w:t>2024), which I frame by the concept of ‘</w:t>
      </w:r>
      <w:proofErr w:type="spellStart"/>
      <w:r>
        <w:t>transcolonial</w:t>
      </w:r>
      <w:proofErr w:type="spellEnd"/>
      <w:r>
        <w:t xml:space="preserve"> Judaism’ (on </w:t>
      </w:r>
      <w:proofErr w:type="spellStart"/>
      <w:r>
        <w:t>transcolonialism</w:t>
      </w:r>
      <w:proofErr w:type="spellEnd"/>
      <w:r>
        <w:t>, see Harrison,</w:t>
      </w:r>
      <w:r w:rsidR="00601FD6">
        <w:t xml:space="preserve"> </w:t>
      </w:r>
      <w:r>
        <w:t xml:space="preserve">2016; </w:t>
      </w:r>
      <w:proofErr w:type="spellStart"/>
      <w:r>
        <w:t>Lionnet</w:t>
      </w:r>
      <w:proofErr w:type="spellEnd"/>
      <w:r>
        <w:t xml:space="preserve"> and Shih, 2005).</w:t>
      </w:r>
    </w:p>
    <w:p w14:paraId="39C697D1" w14:textId="77777777" w:rsidR="00D14C50" w:rsidRDefault="00D14C50" w:rsidP="00D14C50">
      <w:pPr>
        <w:ind w:firstLine="720"/>
      </w:pPr>
      <w:r>
        <w:t>After describing these three movements, characterised by a strong combination of intellectual and activist efforts, I will argue that what is at stake here is a process of identity (trans)formation that places the religious dimension at the forefront as a tool for undoing settler colonialism, and its genocidal nature.</w:t>
      </w:r>
    </w:p>
    <w:p w14:paraId="12BAFAC8" w14:textId="77777777" w:rsidR="00D14C50" w:rsidRPr="00D21F52" w:rsidRDefault="00D14C50" w:rsidP="00601FD6">
      <w:pPr>
        <w:spacing w:after="0"/>
        <w:rPr>
          <w:i/>
          <w:iCs/>
        </w:rPr>
      </w:pPr>
      <w:r w:rsidRPr="00D21F52">
        <w:rPr>
          <w:i/>
          <w:iCs/>
        </w:rPr>
        <w:t>References</w:t>
      </w:r>
    </w:p>
    <w:p w14:paraId="2A337392" w14:textId="77777777" w:rsidR="00D14C50" w:rsidRPr="00D21F52" w:rsidRDefault="00D14C50" w:rsidP="00D14C50">
      <w:pPr>
        <w:spacing w:after="0"/>
        <w:rPr>
          <w:sz w:val="20"/>
          <w:szCs w:val="20"/>
        </w:rPr>
      </w:pPr>
      <w:r w:rsidRPr="00D21F52">
        <w:rPr>
          <w:sz w:val="20"/>
          <w:szCs w:val="20"/>
        </w:rPr>
        <w:t xml:space="preserve">Caterina Bandini, Une cause </w:t>
      </w:r>
      <w:proofErr w:type="spellStart"/>
      <w:r w:rsidRPr="00D21F52">
        <w:rPr>
          <w:sz w:val="20"/>
          <w:szCs w:val="20"/>
        </w:rPr>
        <w:t>sacrée</w:t>
      </w:r>
      <w:proofErr w:type="spellEnd"/>
      <w:r w:rsidRPr="00D21F52">
        <w:rPr>
          <w:sz w:val="20"/>
          <w:szCs w:val="20"/>
        </w:rPr>
        <w:t xml:space="preserve">. Religion, </w:t>
      </w:r>
      <w:proofErr w:type="spellStart"/>
      <w:r w:rsidRPr="00D21F52">
        <w:rPr>
          <w:sz w:val="20"/>
          <w:szCs w:val="20"/>
        </w:rPr>
        <w:t>décolonisation</w:t>
      </w:r>
      <w:proofErr w:type="spellEnd"/>
      <w:r w:rsidRPr="00D21F52">
        <w:rPr>
          <w:sz w:val="20"/>
          <w:szCs w:val="20"/>
        </w:rPr>
        <w:t xml:space="preserve"> et mobilisations pour la </w:t>
      </w:r>
      <w:proofErr w:type="spellStart"/>
      <w:r w:rsidRPr="00D21F52">
        <w:rPr>
          <w:sz w:val="20"/>
          <w:szCs w:val="20"/>
        </w:rPr>
        <w:t>paix</w:t>
      </w:r>
      <w:proofErr w:type="spellEnd"/>
      <w:r w:rsidRPr="00D21F52">
        <w:rPr>
          <w:sz w:val="20"/>
          <w:szCs w:val="20"/>
        </w:rPr>
        <w:t xml:space="preserve"> </w:t>
      </w:r>
      <w:proofErr w:type="spellStart"/>
      <w:r w:rsidRPr="00D21F52">
        <w:rPr>
          <w:sz w:val="20"/>
          <w:szCs w:val="20"/>
        </w:rPr>
        <w:t>en</w:t>
      </w:r>
      <w:proofErr w:type="spellEnd"/>
      <w:r w:rsidRPr="00D21F52">
        <w:rPr>
          <w:sz w:val="20"/>
          <w:szCs w:val="20"/>
        </w:rPr>
        <w:t xml:space="preserve"> Israël-</w:t>
      </w:r>
    </w:p>
    <w:p w14:paraId="12E56243" w14:textId="77777777" w:rsidR="00D14C50" w:rsidRPr="00D21F52" w:rsidRDefault="00D14C50" w:rsidP="00D14C50">
      <w:pPr>
        <w:spacing w:after="0"/>
        <w:rPr>
          <w:sz w:val="20"/>
          <w:szCs w:val="20"/>
        </w:rPr>
      </w:pPr>
      <w:r w:rsidRPr="00D21F52">
        <w:rPr>
          <w:sz w:val="20"/>
          <w:szCs w:val="20"/>
        </w:rPr>
        <w:t>Palestine, Paris: Karthala-IISMM, 2024 (forthcoming).</w:t>
      </w:r>
    </w:p>
    <w:p w14:paraId="04F75CFD" w14:textId="77777777" w:rsidR="00D14C50" w:rsidRPr="00D21F52" w:rsidRDefault="00D14C50" w:rsidP="00D14C50">
      <w:pPr>
        <w:spacing w:after="0"/>
        <w:rPr>
          <w:sz w:val="20"/>
          <w:szCs w:val="20"/>
        </w:rPr>
      </w:pPr>
      <w:r w:rsidRPr="00D21F52">
        <w:rPr>
          <w:sz w:val="20"/>
          <w:szCs w:val="20"/>
        </w:rPr>
        <w:t xml:space="preserve">______________, “‘La terre ne nous </w:t>
      </w:r>
      <w:proofErr w:type="spellStart"/>
      <w:r w:rsidRPr="00D21F52">
        <w:rPr>
          <w:sz w:val="20"/>
          <w:szCs w:val="20"/>
        </w:rPr>
        <w:t>appartient</w:t>
      </w:r>
      <w:proofErr w:type="spellEnd"/>
      <w:r w:rsidRPr="00D21F52">
        <w:rPr>
          <w:sz w:val="20"/>
          <w:szCs w:val="20"/>
        </w:rPr>
        <w:t xml:space="preserve"> pas, nous </w:t>
      </w:r>
      <w:proofErr w:type="spellStart"/>
      <w:r w:rsidRPr="00D21F52">
        <w:rPr>
          <w:sz w:val="20"/>
          <w:szCs w:val="20"/>
        </w:rPr>
        <w:t>lui</w:t>
      </w:r>
      <w:proofErr w:type="spellEnd"/>
      <w:r w:rsidRPr="00D21F52">
        <w:rPr>
          <w:sz w:val="20"/>
          <w:szCs w:val="20"/>
        </w:rPr>
        <w:t xml:space="preserve"> </w:t>
      </w:r>
      <w:proofErr w:type="spellStart"/>
      <w:r w:rsidRPr="00D21F52">
        <w:rPr>
          <w:sz w:val="20"/>
          <w:szCs w:val="20"/>
        </w:rPr>
        <w:t>appartenons</w:t>
      </w:r>
      <w:proofErr w:type="spellEnd"/>
      <w:r w:rsidRPr="00D21F52">
        <w:rPr>
          <w:sz w:val="20"/>
          <w:szCs w:val="20"/>
        </w:rPr>
        <w:t xml:space="preserve">’. Usages militants de la </w:t>
      </w:r>
      <w:proofErr w:type="spellStart"/>
      <w:r w:rsidRPr="00D21F52">
        <w:rPr>
          <w:sz w:val="20"/>
          <w:szCs w:val="20"/>
        </w:rPr>
        <w:t>théologie</w:t>
      </w:r>
      <w:proofErr w:type="spellEnd"/>
    </w:p>
    <w:p w14:paraId="20B715AD" w14:textId="77777777" w:rsidR="00D14C50" w:rsidRPr="00D21F52" w:rsidRDefault="00D14C50" w:rsidP="00D14C50">
      <w:pPr>
        <w:spacing w:after="0"/>
        <w:rPr>
          <w:sz w:val="20"/>
          <w:szCs w:val="20"/>
        </w:rPr>
      </w:pPr>
      <w:r w:rsidRPr="00D21F52">
        <w:rPr>
          <w:sz w:val="20"/>
          <w:szCs w:val="20"/>
        </w:rPr>
        <w:t xml:space="preserve">et </w:t>
      </w:r>
      <w:proofErr w:type="spellStart"/>
      <w:r w:rsidRPr="00D21F52">
        <w:rPr>
          <w:sz w:val="20"/>
          <w:szCs w:val="20"/>
        </w:rPr>
        <w:t>recompositions</w:t>
      </w:r>
      <w:proofErr w:type="spellEnd"/>
      <w:r w:rsidRPr="00D21F52">
        <w:rPr>
          <w:sz w:val="20"/>
          <w:szCs w:val="20"/>
        </w:rPr>
        <w:t xml:space="preserve"> </w:t>
      </w:r>
      <w:proofErr w:type="spellStart"/>
      <w:r w:rsidRPr="00D21F52">
        <w:rPr>
          <w:sz w:val="20"/>
          <w:szCs w:val="20"/>
        </w:rPr>
        <w:t>identitaires</w:t>
      </w:r>
      <w:proofErr w:type="spellEnd"/>
      <w:r w:rsidRPr="00D21F52">
        <w:rPr>
          <w:sz w:val="20"/>
          <w:szCs w:val="20"/>
        </w:rPr>
        <w:t xml:space="preserve"> </w:t>
      </w:r>
      <w:proofErr w:type="spellStart"/>
      <w:r w:rsidRPr="00D21F52">
        <w:rPr>
          <w:sz w:val="20"/>
          <w:szCs w:val="20"/>
        </w:rPr>
        <w:t>en</w:t>
      </w:r>
      <w:proofErr w:type="spellEnd"/>
      <w:r w:rsidRPr="00D21F52">
        <w:rPr>
          <w:sz w:val="20"/>
          <w:szCs w:val="20"/>
        </w:rPr>
        <w:t xml:space="preserve"> Israël-Palestine”, Critique </w:t>
      </w:r>
      <w:proofErr w:type="spellStart"/>
      <w:r w:rsidRPr="00D21F52">
        <w:rPr>
          <w:sz w:val="20"/>
          <w:szCs w:val="20"/>
        </w:rPr>
        <w:t>internationale</w:t>
      </w:r>
      <w:proofErr w:type="spellEnd"/>
      <w:r w:rsidRPr="00D21F52">
        <w:rPr>
          <w:sz w:val="20"/>
          <w:szCs w:val="20"/>
        </w:rPr>
        <w:t>, vol. 101, n° 4, 2023, 9-32.</w:t>
      </w:r>
    </w:p>
    <w:p w14:paraId="2AC7576E" w14:textId="77777777" w:rsidR="00D14C50" w:rsidRPr="00D21F52" w:rsidRDefault="00D14C50" w:rsidP="00D14C50">
      <w:pPr>
        <w:spacing w:after="0"/>
        <w:rPr>
          <w:sz w:val="20"/>
          <w:szCs w:val="20"/>
        </w:rPr>
      </w:pPr>
      <w:r w:rsidRPr="00D21F52">
        <w:rPr>
          <w:sz w:val="20"/>
          <w:szCs w:val="20"/>
        </w:rPr>
        <w:t>Marc H. Ellis, Toward a Jewish Theology of Liberation: The Challenge of the 21st Century, Waco: Baylor</w:t>
      </w:r>
    </w:p>
    <w:p w14:paraId="3C71D8AC" w14:textId="77777777" w:rsidR="00D14C50" w:rsidRPr="00D21F52" w:rsidRDefault="00D14C50" w:rsidP="00D14C50">
      <w:pPr>
        <w:spacing w:after="0"/>
        <w:rPr>
          <w:sz w:val="20"/>
          <w:szCs w:val="20"/>
        </w:rPr>
      </w:pPr>
      <w:r w:rsidRPr="00D21F52">
        <w:rPr>
          <w:sz w:val="20"/>
          <w:szCs w:val="20"/>
        </w:rPr>
        <w:t>University Press, 2004.</w:t>
      </w:r>
    </w:p>
    <w:p w14:paraId="769223C9" w14:textId="77777777" w:rsidR="00D14C50" w:rsidRPr="00D21F52" w:rsidRDefault="00D14C50" w:rsidP="00D14C50">
      <w:pPr>
        <w:spacing w:after="0"/>
        <w:rPr>
          <w:sz w:val="20"/>
          <w:szCs w:val="20"/>
        </w:rPr>
      </w:pPr>
      <w:r w:rsidRPr="00D21F52">
        <w:rPr>
          <w:sz w:val="20"/>
          <w:szCs w:val="20"/>
        </w:rPr>
        <w:t xml:space="preserve">Olivia C. Harrison, </w:t>
      </w:r>
      <w:proofErr w:type="spellStart"/>
      <w:r w:rsidRPr="00D21F52">
        <w:rPr>
          <w:sz w:val="20"/>
          <w:szCs w:val="20"/>
        </w:rPr>
        <w:t>Transcolonial</w:t>
      </w:r>
      <w:proofErr w:type="spellEnd"/>
      <w:r w:rsidRPr="00D21F52">
        <w:rPr>
          <w:sz w:val="20"/>
          <w:szCs w:val="20"/>
        </w:rPr>
        <w:t xml:space="preserve"> Maghreb: Imagining Palestine in the Era of Decolonization, Redwood City:</w:t>
      </w:r>
    </w:p>
    <w:p w14:paraId="5F73C609" w14:textId="77777777" w:rsidR="00D14C50" w:rsidRPr="00D21F52" w:rsidRDefault="00D14C50" w:rsidP="00D14C50">
      <w:pPr>
        <w:spacing w:after="0"/>
        <w:rPr>
          <w:sz w:val="20"/>
          <w:szCs w:val="20"/>
        </w:rPr>
      </w:pPr>
      <w:r w:rsidRPr="00D21F52">
        <w:rPr>
          <w:sz w:val="20"/>
          <w:szCs w:val="20"/>
        </w:rPr>
        <w:t>Stanford University Press, 2016.</w:t>
      </w:r>
    </w:p>
    <w:p w14:paraId="77813663" w14:textId="77777777" w:rsidR="00D14C50" w:rsidRPr="00D21F52" w:rsidRDefault="00D14C50" w:rsidP="00D14C50">
      <w:pPr>
        <w:spacing w:after="0"/>
        <w:rPr>
          <w:sz w:val="20"/>
          <w:szCs w:val="20"/>
        </w:rPr>
      </w:pPr>
      <w:r w:rsidRPr="00D21F52">
        <w:rPr>
          <w:sz w:val="20"/>
          <w:szCs w:val="20"/>
        </w:rPr>
        <w:t xml:space="preserve">Abeer </w:t>
      </w:r>
      <w:proofErr w:type="spellStart"/>
      <w:r w:rsidRPr="00D21F52">
        <w:rPr>
          <w:sz w:val="20"/>
          <w:szCs w:val="20"/>
        </w:rPr>
        <w:t>Khshiboon</w:t>
      </w:r>
      <w:proofErr w:type="spellEnd"/>
      <w:r w:rsidRPr="00D21F52">
        <w:rPr>
          <w:sz w:val="20"/>
          <w:szCs w:val="20"/>
        </w:rPr>
        <w:t>, “Reclaiming History and Memory: Bridging the Jesus Event and the Nakba”, Political</w:t>
      </w:r>
    </w:p>
    <w:p w14:paraId="33105C1E" w14:textId="77777777" w:rsidR="00D14C50" w:rsidRPr="00D21F52" w:rsidRDefault="00D14C50" w:rsidP="00D14C50">
      <w:pPr>
        <w:spacing w:after="0"/>
        <w:rPr>
          <w:sz w:val="20"/>
          <w:szCs w:val="20"/>
        </w:rPr>
      </w:pPr>
      <w:r w:rsidRPr="00D21F52">
        <w:rPr>
          <w:sz w:val="20"/>
          <w:szCs w:val="20"/>
        </w:rPr>
        <w:t>Theology, 2024, 1-21.</w:t>
      </w:r>
    </w:p>
    <w:p w14:paraId="72AE65B2" w14:textId="494B05C3" w:rsidR="00D14C50" w:rsidRPr="00D14C50" w:rsidRDefault="00D14C50" w:rsidP="00D14C50">
      <w:pPr>
        <w:spacing w:after="0"/>
        <w:rPr>
          <w:sz w:val="20"/>
          <w:szCs w:val="20"/>
        </w:rPr>
      </w:pPr>
      <w:r w:rsidRPr="00D21F52">
        <w:rPr>
          <w:sz w:val="20"/>
          <w:szCs w:val="20"/>
        </w:rPr>
        <w:t>Oren Kroll-Zeldin, Unsettled: American Jews and the Movement for Justice in Palestine, New York: New York</w:t>
      </w:r>
    </w:p>
    <w:p w14:paraId="407E90E2" w14:textId="56B199BC" w:rsidR="00600473" w:rsidRDefault="00CB2EDD" w:rsidP="00601FD6">
      <w:pPr>
        <w:pStyle w:val="Heading2"/>
        <w:shd w:val="clear" w:color="auto" w:fill="D9E2F3" w:themeFill="accent1" w:themeFillTint="33"/>
      </w:pPr>
      <w:r>
        <w:rPr>
          <w:lang w:bidi="he-IL"/>
        </w:rPr>
        <w:t>5.</w:t>
      </w:r>
      <w:r w:rsidR="00D14C50">
        <w:rPr>
          <w:lang w:bidi="he-IL"/>
        </w:rPr>
        <w:t>2</w:t>
      </w:r>
      <w:r w:rsidR="00600473">
        <w:rPr>
          <w:lang w:bidi="he-IL"/>
        </w:rPr>
        <w:t xml:space="preserve"> </w:t>
      </w:r>
      <w:r w:rsidR="00600473" w:rsidRPr="00A5046C">
        <w:t>Why Are So Few ‘Against Joshua’?</w:t>
      </w:r>
    </w:p>
    <w:p w14:paraId="5288F775" w14:textId="320BF53F" w:rsidR="00600473" w:rsidRDefault="00600473" w:rsidP="00601FD6">
      <w:pPr>
        <w:ind w:firstLine="720"/>
      </w:pPr>
      <w:r w:rsidRPr="00601FD6">
        <w:t xml:space="preserve">Rachel </w:t>
      </w:r>
      <w:proofErr w:type="spellStart"/>
      <w:r w:rsidRPr="00601FD6">
        <w:t>Havrelock</w:t>
      </w:r>
      <w:proofErr w:type="spellEnd"/>
      <w:r w:rsidRPr="00601FD6">
        <w:t xml:space="preserve"> (Chicago</w:t>
      </w:r>
      <w:r w:rsidR="00601FD6" w:rsidRPr="00601FD6">
        <w:t>)</w:t>
      </w:r>
    </w:p>
    <w:p w14:paraId="34DF75ED" w14:textId="6B8A16AC" w:rsidR="00600473" w:rsidRDefault="00600473" w:rsidP="00600473">
      <w:pPr>
        <w:rPr>
          <w:lang w:bidi="he-IL"/>
        </w:rPr>
      </w:pPr>
      <w:r w:rsidRPr="00A5046C">
        <w:rPr>
          <w:lang w:val="en"/>
        </w:rPr>
        <w:t xml:space="preserve">In 1992, the celebrated Israeli author and Member of Knesset S. </w:t>
      </w:r>
      <w:proofErr w:type="spellStart"/>
      <w:r w:rsidRPr="00A5046C">
        <w:rPr>
          <w:lang w:val="en"/>
        </w:rPr>
        <w:t>Yizhar</w:t>
      </w:r>
      <w:proofErr w:type="spellEnd"/>
      <w:r w:rsidRPr="00A5046C">
        <w:rPr>
          <w:lang w:val="en"/>
        </w:rPr>
        <w:t xml:space="preserve"> (</w:t>
      </w:r>
      <w:proofErr w:type="spellStart"/>
      <w:r w:rsidRPr="00A5046C">
        <w:rPr>
          <w:lang w:val="en"/>
        </w:rPr>
        <w:t>Yizhar</w:t>
      </w:r>
      <w:proofErr w:type="spellEnd"/>
      <w:r w:rsidRPr="00A5046C">
        <w:rPr>
          <w:lang w:val="en"/>
        </w:rPr>
        <w:t xml:space="preserve"> </w:t>
      </w:r>
      <w:proofErr w:type="spellStart"/>
      <w:r w:rsidRPr="00A5046C">
        <w:rPr>
          <w:lang w:val="en"/>
        </w:rPr>
        <w:t>Smilansky</w:t>
      </w:r>
      <w:proofErr w:type="spellEnd"/>
      <w:r w:rsidRPr="00A5046C">
        <w:rPr>
          <w:lang w:val="en"/>
        </w:rPr>
        <w:t xml:space="preserve">) penned a column “Against Joshua,” using the biblical figure who perpetrated alleged annihilation on the peoples of Canaan as a symbol of a brutal occupation.  He closes by delineating between “hot-tempered fanatics who are always an inherent constituency among conquerors and settlers” and “the Jews…against Joshua.”  Thirty years later, in 2022, Bezalel Smotrich joined Benjamin Netanyahu’s government as Minister of Finance and Minister in the Ministry of Defense.  The most outspoken proponent in Israel’s history of taking policy measures directly from the biblical Joshua’s example, Smotrich states that Palestinians have the option to emigrate, accept Israel’s occupation, or engage in war and accept defeat.  His settler-colonial prism of biblical interpretation has proven a central driver of the destruction of Gaza and genocidal campaign against its residents.  As a “hot-tempered fanatic” who leads “conquerors and settlers,” Smotrich’s success was already predicted by </w:t>
      </w:r>
      <w:proofErr w:type="spellStart"/>
      <w:r w:rsidRPr="00A5046C">
        <w:rPr>
          <w:lang w:val="en"/>
        </w:rPr>
        <w:t>Yizhar</w:t>
      </w:r>
      <w:proofErr w:type="spellEnd"/>
      <w:r w:rsidRPr="00A5046C">
        <w:rPr>
          <w:lang w:val="en"/>
        </w:rPr>
        <w:t xml:space="preserve"> in 1992.  For reasons that will be outlined, the rise of the settler movement in Israel crested with inexorable force.  The question at issue in this paper concerns why “Jews against Joshua” are so few and so lacking in political influence.  Might the crashing of a political counterbalance also have been inevitable?</w:t>
      </w:r>
    </w:p>
    <w:p w14:paraId="43B4C1A4" w14:textId="0BD76E27" w:rsidR="0023118C" w:rsidRDefault="00CB2EDD" w:rsidP="00601FD6">
      <w:pPr>
        <w:pStyle w:val="Heading2"/>
        <w:shd w:val="clear" w:color="auto" w:fill="D9E2F3" w:themeFill="accent1" w:themeFillTint="33"/>
        <w:rPr>
          <w:lang w:bidi="he-IL"/>
        </w:rPr>
      </w:pPr>
      <w:r>
        <w:rPr>
          <w:lang w:bidi="he-IL"/>
        </w:rPr>
        <w:t>5.</w:t>
      </w:r>
      <w:r w:rsidR="00D14C50">
        <w:rPr>
          <w:lang w:bidi="he-IL"/>
        </w:rPr>
        <w:t>3</w:t>
      </w:r>
      <w:r w:rsidR="00600473">
        <w:rPr>
          <w:lang w:bidi="he-IL"/>
        </w:rPr>
        <w:t xml:space="preserve"> </w:t>
      </w:r>
      <w:r w:rsidR="0023118C">
        <w:rPr>
          <w:lang w:bidi="he-IL"/>
        </w:rPr>
        <w:t xml:space="preserve">Jewish violence as legacy? Reading Elliott Horowitz’s Reckless Rites today </w:t>
      </w:r>
    </w:p>
    <w:p w14:paraId="194E224F" w14:textId="1ED206A8" w:rsidR="0023118C" w:rsidRDefault="0023118C" w:rsidP="00601FD6">
      <w:pPr>
        <w:ind w:firstLine="720"/>
        <w:rPr>
          <w:lang w:bidi="he-IL"/>
        </w:rPr>
      </w:pPr>
      <w:r>
        <w:rPr>
          <w:lang w:bidi="he-IL"/>
        </w:rPr>
        <w:t>Davide Mano (Paris)</w:t>
      </w:r>
    </w:p>
    <w:p w14:paraId="1852DC81" w14:textId="3F6345E1" w:rsidR="0081057B" w:rsidRDefault="0023118C" w:rsidP="0023118C">
      <w:pPr>
        <w:rPr>
          <w:lang w:bidi="he-IL"/>
        </w:rPr>
      </w:pPr>
      <w:r>
        <w:rPr>
          <w:lang w:bidi="he-IL"/>
        </w:rPr>
        <w:t>This paper proposes to go back to Elliott Horowitz’s (1953-2017) study on Jewish violence at Purim published by Princeton University Press in 2006. The book starts with a description of the anti-Muslim massacre at the Tomb of the Patriarchs in Hebron perpetrated by Baruch Goldstein in 1994 and goes back in time to reconstruct practices and reconceptualize Jewish history and political thought around the topic of violence at Purim. After almost 20 years, this groundbreaking work deserves a new reading in front of the present situation, as Israeli official and popular discourses – including around Purim - have become more and more bellicose. This presentation will particularly address the questions of the political use of the assigned role of Jews as victims and of the legitimation of severe revenge over the enemy in present Israel. We will also reconsider Horowitz’s choice of the word “legacy” to describe the history of Jewish violence at Purim over the centuries and will add some new evidence taken from texts published in the social networks around Purim 2024. What role does the Jewish festival of Purim play in nowadays Israeli Judaism, spiritually and politically speaking?</w:t>
      </w:r>
    </w:p>
    <w:p w14:paraId="1C15FB2C" w14:textId="6C253817" w:rsidR="005A2DA6" w:rsidRDefault="00CB2EDD" w:rsidP="00601FD6">
      <w:pPr>
        <w:pStyle w:val="Heading2"/>
        <w:shd w:val="clear" w:color="auto" w:fill="D9E2F3" w:themeFill="accent1" w:themeFillTint="33"/>
        <w:rPr>
          <w:lang w:bidi="he-IL"/>
        </w:rPr>
      </w:pPr>
      <w:r>
        <w:rPr>
          <w:lang w:bidi="he-IL"/>
        </w:rPr>
        <w:t>6.</w:t>
      </w:r>
      <w:r w:rsidR="005A2DA6">
        <w:rPr>
          <w:lang w:bidi="he-IL"/>
        </w:rPr>
        <w:t xml:space="preserve"> Roundtable Discussion</w:t>
      </w:r>
      <w:r w:rsidR="00A05D5E">
        <w:rPr>
          <w:lang w:bidi="he-IL"/>
        </w:rPr>
        <w:t>: What’s Next?</w:t>
      </w:r>
    </w:p>
    <w:p w14:paraId="6A3C6588" w14:textId="01A10B5B" w:rsidR="005A2DA6" w:rsidRDefault="00A05D5E" w:rsidP="00601FD6">
      <w:pPr>
        <w:ind w:firstLine="720"/>
        <w:rPr>
          <w:lang w:val="en-CA" w:bidi="he-IL"/>
        </w:rPr>
      </w:pPr>
      <w:r>
        <w:rPr>
          <w:lang w:val="en-CA" w:bidi="he-IL"/>
        </w:rPr>
        <w:t xml:space="preserve">Moderators: Ron </w:t>
      </w:r>
      <w:proofErr w:type="spellStart"/>
      <w:r>
        <w:rPr>
          <w:lang w:val="en-CA" w:bidi="he-IL"/>
        </w:rPr>
        <w:t>Naiweld</w:t>
      </w:r>
      <w:proofErr w:type="spellEnd"/>
      <w:r>
        <w:rPr>
          <w:lang w:val="en-CA" w:bidi="he-IL"/>
        </w:rPr>
        <w:t xml:space="preserve"> and Ophira Gamliel</w:t>
      </w:r>
    </w:p>
    <w:p w14:paraId="3D048615" w14:textId="60D65A42" w:rsidR="00A05D5E" w:rsidRPr="000C1F0D" w:rsidRDefault="0074502B" w:rsidP="0081057B">
      <w:pPr>
        <w:rPr>
          <w:rtl/>
          <w:lang w:bidi="he-IL"/>
        </w:rPr>
      </w:pPr>
      <w:r>
        <w:rPr>
          <w:lang w:bidi="he-IL"/>
        </w:rPr>
        <w:t>This session is designed for exploring possibilities for funding of future in-person events</w:t>
      </w:r>
      <w:r w:rsidR="00A05D5E">
        <w:rPr>
          <w:lang w:bidi="he-IL"/>
        </w:rPr>
        <w:t>,</w:t>
      </w:r>
      <w:r>
        <w:rPr>
          <w:lang w:bidi="he-IL"/>
        </w:rPr>
        <w:t xml:space="preserve"> seed funding for grant applications (e.g., interdisciplinary funding schemes), and mutual support in publications, separately or jointly (e.g., an edited volume).</w:t>
      </w:r>
    </w:p>
    <w:sectPr w:rsidR="00A05D5E" w:rsidRPr="000C1F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C3196" w14:textId="77777777" w:rsidR="00BF1047" w:rsidRDefault="00BF1047" w:rsidP="001C2A6F">
      <w:pPr>
        <w:spacing w:after="0" w:line="240" w:lineRule="auto"/>
      </w:pPr>
      <w:r>
        <w:separator/>
      </w:r>
    </w:p>
  </w:endnote>
  <w:endnote w:type="continuationSeparator" w:id="0">
    <w:p w14:paraId="4D5E896D" w14:textId="77777777" w:rsidR="00BF1047" w:rsidRDefault="00BF1047" w:rsidP="001C2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DF428" w14:textId="77777777" w:rsidR="00BF1047" w:rsidRDefault="00BF1047" w:rsidP="001C2A6F">
      <w:pPr>
        <w:spacing w:after="0" w:line="240" w:lineRule="auto"/>
      </w:pPr>
      <w:r>
        <w:separator/>
      </w:r>
    </w:p>
  </w:footnote>
  <w:footnote w:type="continuationSeparator" w:id="0">
    <w:p w14:paraId="5FE2A2EB" w14:textId="77777777" w:rsidR="00BF1047" w:rsidRDefault="00BF1047" w:rsidP="001C2A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49"/>
    <w:rsid w:val="00025521"/>
    <w:rsid w:val="00095E7E"/>
    <w:rsid w:val="000A6230"/>
    <w:rsid w:val="000C1F0D"/>
    <w:rsid w:val="000E3642"/>
    <w:rsid w:val="0014311C"/>
    <w:rsid w:val="001832B1"/>
    <w:rsid w:val="00184DF4"/>
    <w:rsid w:val="001C2A6F"/>
    <w:rsid w:val="001D40FF"/>
    <w:rsid w:val="0022169D"/>
    <w:rsid w:val="0023118C"/>
    <w:rsid w:val="0026064F"/>
    <w:rsid w:val="00264B19"/>
    <w:rsid w:val="002A4CC7"/>
    <w:rsid w:val="002D63BB"/>
    <w:rsid w:val="00345115"/>
    <w:rsid w:val="00350E52"/>
    <w:rsid w:val="003C5C16"/>
    <w:rsid w:val="00463549"/>
    <w:rsid w:val="00466AE4"/>
    <w:rsid w:val="004D49AC"/>
    <w:rsid w:val="004E2B6F"/>
    <w:rsid w:val="0054354D"/>
    <w:rsid w:val="005614DE"/>
    <w:rsid w:val="0056680E"/>
    <w:rsid w:val="005954A0"/>
    <w:rsid w:val="005A2DA6"/>
    <w:rsid w:val="005B2C30"/>
    <w:rsid w:val="005C2D6A"/>
    <w:rsid w:val="005D3308"/>
    <w:rsid w:val="00600473"/>
    <w:rsid w:val="00601FD6"/>
    <w:rsid w:val="006C3195"/>
    <w:rsid w:val="00713CC7"/>
    <w:rsid w:val="007416B7"/>
    <w:rsid w:val="0074502B"/>
    <w:rsid w:val="007C7301"/>
    <w:rsid w:val="007D3B9E"/>
    <w:rsid w:val="0081057B"/>
    <w:rsid w:val="0087148C"/>
    <w:rsid w:val="00876F0A"/>
    <w:rsid w:val="0089004B"/>
    <w:rsid w:val="008F518C"/>
    <w:rsid w:val="008F6B3F"/>
    <w:rsid w:val="00927A84"/>
    <w:rsid w:val="00934176"/>
    <w:rsid w:val="009C629B"/>
    <w:rsid w:val="00A05D5E"/>
    <w:rsid w:val="00A5046C"/>
    <w:rsid w:val="00A60C32"/>
    <w:rsid w:val="00A75E30"/>
    <w:rsid w:val="00B51C5A"/>
    <w:rsid w:val="00BF1047"/>
    <w:rsid w:val="00C4266C"/>
    <w:rsid w:val="00C87405"/>
    <w:rsid w:val="00CB2EDD"/>
    <w:rsid w:val="00CC53E1"/>
    <w:rsid w:val="00CF6C69"/>
    <w:rsid w:val="00D14C50"/>
    <w:rsid w:val="00D15104"/>
    <w:rsid w:val="00D21F52"/>
    <w:rsid w:val="00DE5BBF"/>
    <w:rsid w:val="00DF7876"/>
    <w:rsid w:val="00E36B48"/>
    <w:rsid w:val="00ED35EE"/>
    <w:rsid w:val="00FA568C"/>
    <w:rsid w:val="00FE04F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BCE02"/>
  <w15:chartTrackingRefBased/>
  <w15:docId w15:val="{4A0C28C6-F8AE-440A-8AA2-FD031A55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642"/>
    <w:rPr>
      <w:sz w:val="24"/>
    </w:rPr>
  </w:style>
  <w:style w:type="paragraph" w:styleId="Heading1">
    <w:name w:val="heading 1"/>
    <w:basedOn w:val="Normal"/>
    <w:next w:val="Normal"/>
    <w:link w:val="Heading1Char"/>
    <w:uiPriority w:val="9"/>
    <w:qFormat/>
    <w:rsid w:val="00D21F52"/>
    <w:pPr>
      <w:keepNext/>
      <w:keepLines/>
      <w:spacing w:before="720" w:after="440"/>
      <w:jc w:val="center"/>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89004B"/>
    <w:pPr>
      <w:keepNext/>
      <w:keepLines/>
      <w:spacing w:before="160" w:after="120"/>
      <w:outlineLvl w:val="1"/>
    </w:pPr>
    <w:rPr>
      <w:rFonts w:asciiTheme="majorHAnsi" w:eastAsiaTheme="majorEastAsia" w:hAnsiTheme="majorHAnsi" w:cstheme="majorBidi"/>
      <w:b/>
      <w:szCs w:val="26"/>
      <w:lang w:val="en-CA"/>
    </w:rPr>
  </w:style>
  <w:style w:type="paragraph" w:styleId="Heading3">
    <w:name w:val="heading 3"/>
    <w:basedOn w:val="Normal"/>
    <w:next w:val="Normal"/>
    <w:link w:val="Heading3Char"/>
    <w:uiPriority w:val="9"/>
    <w:unhideWhenUsed/>
    <w:qFormat/>
    <w:rsid w:val="005A2DA6"/>
    <w:pPr>
      <w:keepNext/>
      <w:keepLines/>
      <w:spacing w:before="280" w:after="200"/>
      <w:ind w:left="72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4635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35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35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5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5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5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004B"/>
    <w:rPr>
      <w:rFonts w:asciiTheme="majorHAnsi" w:eastAsiaTheme="majorEastAsia" w:hAnsiTheme="majorHAnsi" w:cstheme="majorBidi"/>
      <w:b/>
      <w:sz w:val="24"/>
      <w:szCs w:val="26"/>
      <w:lang w:val="en-CA"/>
    </w:rPr>
  </w:style>
  <w:style w:type="character" w:customStyle="1" w:styleId="Heading1Char">
    <w:name w:val="Heading 1 Char"/>
    <w:basedOn w:val="DefaultParagraphFont"/>
    <w:link w:val="Heading1"/>
    <w:uiPriority w:val="9"/>
    <w:rsid w:val="00D21F52"/>
    <w:rPr>
      <w:rFonts w:asciiTheme="majorHAnsi" w:eastAsiaTheme="majorEastAsia" w:hAnsiTheme="majorHAnsi" w:cstheme="majorBidi"/>
      <w:sz w:val="40"/>
      <w:szCs w:val="40"/>
    </w:rPr>
  </w:style>
  <w:style w:type="character" w:customStyle="1" w:styleId="Heading3Char">
    <w:name w:val="Heading 3 Char"/>
    <w:basedOn w:val="DefaultParagraphFont"/>
    <w:link w:val="Heading3"/>
    <w:uiPriority w:val="9"/>
    <w:rsid w:val="005A2DA6"/>
    <w:rPr>
      <w:rFonts w:eastAsiaTheme="majorEastAsia" w:cstheme="majorBidi"/>
      <w:sz w:val="24"/>
      <w:szCs w:val="28"/>
    </w:rPr>
  </w:style>
  <w:style w:type="character" w:customStyle="1" w:styleId="Heading4Char">
    <w:name w:val="Heading 4 Char"/>
    <w:basedOn w:val="DefaultParagraphFont"/>
    <w:link w:val="Heading4"/>
    <w:uiPriority w:val="9"/>
    <w:semiHidden/>
    <w:rsid w:val="004635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35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35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5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5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549"/>
    <w:rPr>
      <w:rFonts w:eastAsiaTheme="majorEastAsia" w:cstheme="majorBidi"/>
      <w:color w:val="272727" w:themeColor="text1" w:themeTint="D8"/>
    </w:rPr>
  </w:style>
  <w:style w:type="paragraph" w:styleId="Title">
    <w:name w:val="Title"/>
    <w:basedOn w:val="Normal"/>
    <w:next w:val="Normal"/>
    <w:link w:val="TitleChar"/>
    <w:uiPriority w:val="10"/>
    <w:qFormat/>
    <w:rsid w:val="00463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5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5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5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549"/>
    <w:pPr>
      <w:spacing w:before="160"/>
      <w:jc w:val="center"/>
    </w:pPr>
    <w:rPr>
      <w:i/>
      <w:iCs/>
      <w:color w:val="404040" w:themeColor="text1" w:themeTint="BF"/>
    </w:rPr>
  </w:style>
  <w:style w:type="character" w:customStyle="1" w:styleId="QuoteChar">
    <w:name w:val="Quote Char"/>
    <w:basedOn w:val="DefaultParagraphFont"/>
    <w:link w:val="Quote"/>
    <w:uiPriority w:val="29"/>
    <w:rsid w:val="00463549"/>
    <w:rPr>
      <w:i/>
      <w:iCs/>
      <w:color w:val="404040" w:themeColor="text1" w:themeTint="BF"/>
    </w:rPr>
  </w:style>
  <w:style w:type="paragraph" w:styleId="ListParagraph">
    <w:name w:val="List Paragraph"/>
    <w:basedOn w:val="Normal"/>
    <w:uiPriority w:val="34"/>
    <w:qFormat/>
    <w:rsid w:val="00463549"/>
    <w:pPr>
      <w:ind w:left="720"/>
      <w:contextualSpacing/>
    </w:pPr>
  </w:style>
  <w:style w:type="character" w:styleId="IntenseEmphasis">
    <w:name w:val="Intense Emphasis"/>
    <w:basedOn w:val="DefaultParagraphFont"/>
    <w:uiPriority w:val="21"/>
    <w:qFormat/>
    <w:rsid w:val="00463549"/>
    <w:rPr>
      <w:i/>
      <w:iCs/>
      <w:color w:val="2F5496" w:themeColor="accent1" w:themeShade="BF"/>
    </w:rPr>
  </w:style>
  <w:style w:type="paragraph" w:styleId="IntenseQuote">
    <w:name w:val="Intense Quote"/>
    <w:basedOn w:val="Normal"/>
    <w:next w:val="Normal"/>
    <w:link w:val="IntenseQuoteChar"/>
    <w:uiPriority w:val="30"/>
    <w:qFormat/>
    <w:rsid w:val="004635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3549"/>
    <w:rPr>
      <w:i/>
      <w:iCs/>
      <w:color w:val="2F5496" w:themeColor="accent1" w:themeShade="BF"/>
    </w:rPr>
  </w:style>
  <w:style w:type="character" w:styleId="IntenseReference">
    <w:name w:val="Intense Reference"/>
    <w:basedOn w:val="DefaultParagraphFont"/>
    <w:uiPriority w:val="32"/>
    <w:qFormat/>
    <w:rsid w:val="00463549"/>
    <w:rPr>
      <w:b/>
      <w:bCs/>
      <w:smallCaps/>
      <w:color w:val="2F5496" w:themeColor="accent1" w:themeShade="BF"/>
      <w:spacing w:val="5"/>
    </w:rPr>
  </w:style>
  <w:style w:type="paragraph" w:styleId="NormalWeb">
    <w:name w:val="Normal (Web)"/>
    <w:basedOn w:val="Normal"/>
    <w:uiPriority w:val="99"/>
    <w:semiHidden/>
    <w:unhideWhenUsed/>
    <w:rsid w:val="00463549"/>
    <w:pPr>
      <w:spacing w:before="100" w:beforeAutospacing="1" w:after="100" w:afterAutospacing="1" w:line="240" w:lineRule="auto"/>
    </w:pPr>
    <w:rPr>
      <w:rFonts w:ascii="Times New Roman" w:eastAsia="Times New Roman" w:hAnsi="Times New Roman" w:cs="Times New Roman"/>
      <w:kern w:val="0"/>
      <w:szCs w:val="24"/>
      <w:lang w:eastAsia="en-GB"/>
    </w:rPr>
  </w:style>
  <w:style w:type="character" w:styleId="Hyperlink">
    <w:name w:val="Hyperlink"/>
    <w:basedOn w:val="DefaultParagraphFont"/>
    <w:uiPriority w:val="99"/>
    <w:unhideWhenUsed/>
    <w:rsid w:val="00463549"/>
    <w:rPr>
      <w:color w:val="0000FF"/>
      <w:u w:val="single"/>
    </w:rPr>
  </w:style>
  <w:style w:type="character" w:styleId="UnresolvedMention">
    <w:name w:val="Unresolved Mention"/>
    <w:basedOn w:val="DefaultParagraphFont"/>
    <w:uiPriority w:val="99"/>
    <w:semiHidden/>
    <w:unhideWhenUsed/>
    <w:rsid w:val="00463549"/>
    <w:rPr>
      <w:color w:val="605E5C"/>
      <w:shd w:val="clear" w:color="auto" w:fill="E1DFDD"/>
    </w:rPr>
  </w:style>
  <w:style w:type="character" w:styleId="Emphasis">
    <w:name w:val="Emphasis"/>
    <w:basedOn w:val="DefaultParagraphFont"/>
    <w:uiPriority w:val="20"/>
    <w:qFormat/>
    <w:rsid w:val="004635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017727">
      <w:bodyDiv w:val="1"/>
      <w:marLeft w:val="0"/>
      <w:marRight w:val="0"/>
      <w:marTop w:val="0"/>
      <w:marBottom w:val="0"/>
      <w:divBdr>
        <w:top w:val="none" w:sz="0" w:space="0" w:color="auto"/>
        <w:left w:val="none" w:sz="0" w:space="0" w:color="auto"/>
        <w:bottom w:val="none" w:sz="0" w:space="0" w:color="auto"/>
        <w:right w:val="none" w:sz="0" w:space="0" w:color="auto"/>
      </w:divBdr>
    </w:div>
    <w:div w:id="331572283">
      <w:bodyDiv w:val="1"/>
      <w:marLeft w:val="0"/>
      <w:marRight w:val="0"/>
      <w:marTop w:val="0"/>
      <w:marBottom w:val="0"/>
      <w:divBdr>
        <w:top w:val="none" w:sz="0" w:space="0" w:color="auto"/>
        <w:left w:val="none" w:sz="0" w:space="0" w:color="auto"/>
        <w:bottom w:val="none" w:sz="0" w:space="0" w:color="auto"/>
        <w:right w:val="none" w:sz="0" w:space="0" w:color="auto"/>
      </w:divBdr>
    </w:div>
    <w:div w:id="597713919">
      <w:bodyDiv w:val="1"/>
      <w:marLeft w:val="0"/>
      <w:marRight w:val="0"/>
      <w:marTop w:val="0"/>
      <w:marBottom w:val="0"/>
      <w:divBdr>
        <w:top w:val="none" w:sz="0" w:space="0" w:color="auto"/>
        <w:left w:val="none" w:sz="0" w:space="0" w:color="auto"/>
        <w:bottom w:val="none" w:sz="0" w:space="0" w:color="auto"/>
        <w:right w:val="none" w:sz="0" w:space="0" w:color="auto"/>
      </w:divBdr>
    </w:div>
    <w:div w:id="1457262264">
      <w:bodyDiv w:val="1"/>
      <w:marLeft w:val="0"/>
      <w:marRight w:val="0"/>
      <w:marTop w:val="0"/>
      <w:marBottom w:val="0"/>
      <w:divBdr>
        <w:top w:val="none" w:sz="0" w:space="0" w:color="auto"/>
        <w:left w:val="none" w:sz="0" w:space="0" w:color="auto"/>
        <w:bottom w:val="none" w:sz="0" w:space="0" w:color="auto"/>
        <w:right w:val="none" w:sz="0" w:space="0" w:color="auto"/>
      </w:divBdr>
    </w:div>
    <w:div w:id="1553540361">
      <w:bodyDiv w:val="1"/>
      <w:marLeft w:val="0"/>
      <w:marRight w:val="0"/>
      <w:marTop w:val="0"/>
      <w:marBottom w:val="0"/>
      <w:divBdr>
        <w:top w:val="none" w:sz="0" w:space="0" w:color="auto"/>
        <w:left w:val="none" w:sz="0" w:space="0" w:color="auto"/>
        <w:bottom w:val="none" w:sz="0" w:space="0" w:color="auto"/>
        <w:right w:val="none" w:sz="0" w:space="0" w:color="auto"/>
      </w:divBdr>
    </w:div>
    <w:div w:id="1628656209">
      <w:bodyDiv w:val="1"/>
      <w:marLeft w:val="0"/>
      <w:marRight w:val="0"/>
      <w:marTop w:val="0"/>
      <w:marBottom w:val="0"/>
      <w:divBdr>
        <w:top w:val="none" w:sz="0" w:space="0" w:color="auto"/>
        <w:left w:val="none" w:sz="0" w:space="0" w:color="auto"/>
        <w:bottom w:val="none" w:sz="0" w:space="0" w:color="auto"/>
        <w:right w:val="none" w:sz="0" w:space="0" w:color="auto"/>
      </w:divBdr>
    </w:div>
    <w:div w:id="180712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yoakomolafe.net/post/the-lines-that-whisper-us-rethinking-agency-and-accountability-in-the-middle-east-through-the-more-than-huma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3439</Words>
  <Characters>19603</Characters>
  <Application>Microsoft Office Word</Application>
  <DocSecurity>0</DocSecurity>
  <Lines>163</Lines>
  <Paragraphs>45</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Genocidal Mindset: Conference Abstracts</vt:lpstr>
      <vt:lpstr>    1.1 Queering Theology Beyond Eurocentric Jewish-Christian Binaries</vt:lpstr>
      <vt:lpstr>    1.2 When Herzel, Scholem and Luther Imagined Gaza</vt:lpstr>
      <vt:lpstr>    1.3 A voice crying out in the desert: R. Yoel Teitelbaum’s criticism of politica</vt:lpstr>
      <vt:lpstr>    2.1 Neurobiological factors in empathic intergroup dynamics, their influence on </vt:lpstr>
      <vt:lpstr>    2.2 Hospicing Gaza (غزة): Stunned Languaging, Grief and Spirituality</vt:lpstr>
      <vt:lpstr>    3.1 Genocide as the wages of sin: private finance, state (re)formation and the P</vt:lpstr>
      <vt:lpstr>    3.2 Land Fetishism, Colonialism, and the Invention of the Judeo-Christian Herita</vt:lpstr>
      <vt:lpstr>    4.1 Religion and Genocidal Imagination: The Case of Tigray-Ethiopia</vt:lpstr>
      <vt:lpstr>    4.2 Interpretations of the Simeon and Levi Deed in Israeli discourse during oper</vt:lpstr>
      <vt:lpstr>    5.1 Faith in the Face of Genocide: Liberation Theologies, Spiritual Indigeneity,</vt:lpstr>
      <vt:lpstr>    5.2 Why Are So Few ‘Against Joshua’?</vt:lpstr>
      <vt:lpstr>    5.3 Jewish violence as legacy? Reading Elliott Horowitz’s Reckless Rites today </vt:lpstr>
      <vt:lpstr>    6. Roundtable Discussion: What’s Next?</vt:lpstr>
    </vt:vector>
  </TitlesOfParts>
  <Company/>
  <LinksUpToDate>false</LinksUpToDate>
  <CharactersWithSpaces>22997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2024-10-27T11:19:00Z</dcterms:created>
  <dcterms:modified xsi:type="dcterms:W3CDTF">2024-10-27T11:19:00Z</dcterms:modified>
</cp:coreProperties>
</file>